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50"/>
          <w:szCs w:val="50"/>
        </w:rPr>
      </w:pPr>
      <w:r w:rsidDel="00000000" w:rsidR="00000000" w:rsidRPr="00000000">
        <w:rPr>
          <w:rtl w:val="0"/>
        </w:rPr>
      </w:r>
    </w:p>
    <w:p w:rsidR="00000000" w:rsidDel="00000000" w:rsidP="00000000" w:rsidRDefault="00000000" w:rsidRPr="00000000" w14:paraId="00000002">
      <w:pPr>
        <w:spacing w:line="240" w:lineRule="auto"/>
        <w:jc w:val="center"/>
        <w:rPr>
          <w:b w:val="1"/>
          <w:sz w:val="50"/>
          <w:szCs w:val="50"/>
        </w:rPr>
      </w:pPr>
      <w:r w:rsidDel="00000000" w:rsidR="00000000" w:rsidRPr="00000000">
        <w:rPr>
          <w:b w:val="1"/>
          <w:sz w:val="50"/>
          <w:szCs w:val="50"/>
          <w:rtl w:val="0"/>
        </w:rPr>
        <w:t xml:space="preserve">123tinta.es celebra su cuarto aniversario como referente del sector de ecommerce de cartuchos y toners</w:t>
      </w:r>
    </w:p>
    <w:p w:rsidR="00000000" w:rsidDel="00000000" w:rsidP="00000000" w:rsidRDefault="00000000" w:rsidRPr="00000000" w14:paraId="00000003">
      <w:pPr>
        <w:spacing w:line="240" w:lineRule="auto"/>
        <w:jc w:val="both"/>
        <w:rPr>
          <w:b w:val="1"/>
          <w:i w:val="1"/>
          <w:sz w:val="24"/>
          <w:szCs w:val="24"/>
          <w:highlight w:val="yellow"/>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La compañía alcanza las 28.000 referencias en su catálogo tras ampliar más de un 10% su oferta en iluminación LED, limpieza y cables</w:t>
      </w:r>
      <w:r w:rsidDel="00000000" w:rsidR="00000000" w:rsidRPr="00000000">
        <w:rPr>
          <w:b w:val="1"/>
          <w:i w:val="1"/>
          <w:sz w:val="24"/>
          <w:szCs w:val="24"/>
          <w:rtl w:val="0"/>
        </w:rPr>
        <w:t xml:space="preserve"> </w:t>
      </w:r>
    </w:p>
    <w:p w:rsidR="00000000" w:rsidDel="00000000" w:rsidP="00000000" w:rsidRDefault="00000000" w:rsidRPr="00000000" w14:paraId="00000005">
      <w:pPr>
        <w:numPr>
          <w:ilvl w:val="0"/>
          <w:numId w:val="1"/>
        </w:numPr>
        <w:ind w:left="720" w:hanging="360"/>
        <w:jc w:val="both"/>
        <w:rPr>
          <w:b w:val="1"/>
          <w:i w:val="1"/>
          <w:sz w:val="24"/>
          <w:szCs w:val="24"/>
          <w:u w:val="none"/>
        </w:rPr>
      </w:pPr>
      <w:r w:rsidDel="00000000" w:rsidR="00000000" w:rsidRPr="00000000">
        <w:rPr>
          <w:b w:val="1"/>
          <w:i w:val="1"/>
          <w:sz w:val="24"/>
          <w:szCs w:val="24"/>
          <w:rtl w:val="0"/>
        </w:rPr>
        <w:t xml:space="preserve">Además de su apuesta por el talento joven, la empresa ha cubierto el 66 % de los puestos de responsabilidad con promociones internas</w:t>
      </w:r>
    </w:p>
    <w:p w:rsidR="00000000" w:rsidDel="00000000" w:rsidP="00000000" w:rsidRDefault="00000000" w:rsidRPr="00000000" w14:paraId="00000006">
      <w:pPr>
        <w:jc w:val="both"/>
        <w:rPr>
          <w:b w:val="1"/>
          <w:i w:val="1"/>
          <w:sz w:val="24"/>
          <w:szCs w:val="24"/>
        </w:rPr>
      </w:pPr>
      <w:r w:rsidDel="00000000" w:rsidR="00000000" w:rsidRPr="00000000">
        <w:rPr>
          <w:b w:val="1"/>
          <w:i w:val="1"/>
          <w:sz w:val="24"/>
          <w:szCs w:val="24"/>
        </w:rPr>
        <w:drawing>
          <wp:inline distB="114300" distT="114300" distL="114300" distR="114300">
            <wp:extent cx="5399730" cy="203200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0" w:firstLine="0"/>
        <w:jc w:val="both"/>
        <w:rPr>
          <w:color w:val="1f1f1f"/>
          <w:sz w:val="24"/>
          <w:szCs w:val="24"/>
        </w:rPr>
      </w:pPr>
      <w:r w:rsidDel="00000000" w:rsidR="00000000" w:rsidRPr="00000000">
        <w:rPr>
          <w:rFonts w:ascii="Calibri" w:cs="Calibri" w:eastAsia="Calibri" w:hAnsi="Calibri"/>
          <w:b w:val="1"/>
          <w:color w:val="1f1f1f"/>
          <w:sz w:val="24"/>
          <w:szCs w:val="24"/>
          <w:rtl w:val="0"/>
        </w:rPr>
        <w:t xml:space="preserve">Madrid,</w:t>
      </w:r>
      <w:r w:rsidDel="00000000" w:rsidR="00000000" w:rsidRPr="00000000">
        <w:rPr>
          <w:b w:val="1"/>
          <w:color w:val="1f1f1f"/>
          <w:sz w:val="24"/>
          <w:szCs w:val="24"/>
          <w:rtl w:val="0"/>
        </w:rPr>
        <w:t xml:space="preserve"> 14 de</w:t>
      </w:r>
      <w:r w:rsidDel="00000000" w:rsidR="00000000" w:rsidRPr="00000000">
        <w:rPr>
          <w:rFonts w:ascii="Calibri" w:cs="Calibri" w:eastAsia="Calibri" w:hAnsi="Calibri"/>
          <w:b w:val="1"/>
          <w:color w:val="1f1f1f"/>
          <w:sz w:val="24"/>
          <w:szCs w:val="24"/>
          <w:rtl w:val="0"/>
        </w:rPr>
        <w:t xml:space="preserve"> </w:t>
      </w:r>
      <w:r w:rsidDel="00000000" w:rsidR="00000000" w:rsidRPr="00000000">
        <w:rPr>
          <w:b w:val="1"/>
          <w:color w:val="1f1f1f"/>
          <w:sz w:val="24"/>
          <w:szCs w:val="24"/>
          <w:rtl w:val="0"/>
        </w:rPr>
        <w:t xml:space="preserve">julio 2025</w:t>
      </w:r>
      <w:r w:rsidDel="00000000" w:rsidR="00000000" w:rsidRPr="00000000">
        <w:rPr>
          <w:rFonts w:ascii="Calibri" w:cs="Calibri" w:eastAsia="Calibri" w:hAnsi="Calibri"/>
          <w:b w:val="1"/>
          <w:color w:val="1f1f1f"/>
          <w:sz w:val="24"/>
          <w:szCs w:val="24"/>
          <w:rtl w:val="0"/>
        </w:rPr>
        <w:t xml:space="preserve">.-</w:t>
      </w:r>
      <w:r w:rsidDel="00000000" w:rsidR="00000000" w:rsidRPr="00000000">
        <w:rPr>
          <w:color w:val="1f1f1f"/>
          <w:sz w:val="24"/>
          <w:szCs w:val="24"/>
          <w:rtl w:val="0"/>
        </w:rPr>
        <w:t xml:space="preserve"> </w:t>
      </w:r>
      <w:r w:rsidDel="00000000" w:rsidR="00000000" w:rsidRPr="00000000">
        <w:rPr>
          <w:color w:val="1f1f1f"/>
          <w:sz w:val="24"/>
          <w:szCs w:val="24"/>
          <w:rtl w:val="0"/>
        </w:rPr>
        <w:t xml:space="preserve">123tinta.es</w:t>
      </w:r>
      <w:r w:rsidDel="00000000" w:rsidR="00000000" w:rsidRPr="00000000">
        <w:rPr>
          <w:color w:val="1f1f1f"/>
          <w:sz w:val="24"/>
          <w:szCs w:val="24"/>
          <w:rtl w:val="0"/>
        </w:rPr>
        <w:t xml:space="preserve">, el </w:t>
      </w:r>
      <w:r w:rsidDel="00000000" w:rsidR="00000000" w:rsidRPr="00000000">
        <w:rPr>
          <w:i w:val="1"/>
          <w:color w:val="1f1f1f"/>
          <w:sz w:val="24"/>
          <w:szCs w:val="24"/>
          <w:rtl w:val="0"/>
        </w:rPr>
        <w:t xml:space="preserve">ecommerce</w:t>
      </w:r>
      <w:r w:rsidDel="00000000" w:rsidR="00000000" w:rsidRPr="00000000">
        <w:rPr>
          <w:color w:val="1f1f1f"/>
          <w:sz w:val="24"/>
          <w:szCs w:val="24"/>
          <w:rtl w:val="0"/>
        </w:rPr>
        <w:t xml:space="preserve"> de </w:t>
      </w:r>
      <w:hyperlink r:id="rId8">
        <w:r w:rsidDel="00000000" w:rsidR="00000000" w:rsidRPr="00000000">
          <w:rPr>
            <w:color w:val="1155cc"/>
            <w:sz w:val="24"/>
            <w:szCs w:val="24"/>
            <w:u w:val="single"/>
            <w:rtl w:val="0"/>
          </w:rPr>
          <w:t xml:space="preserve">cartuchos de impresoras</w:t>
        </w:r>
      </w:hyperlink>
      <w:r w:rsidDel="00000000" w:rsidR="00000000" w:rsidRPr="00000000">
        <w:rPr>
          <w:color w:val="1f1f1f"/>
          <w:sz w:val="24"/>
          <w:szCs w:val="24"/>
          <w:rtl w:val="0"/>
        </w:rPr>
        <w:t xml:space="preserve"> y </w:t>
      </w:r>
      <w:hyperlink r:id="rId9">
        <w:r w:rsidDel="00000000" w:rsidR="00000000" w:rsidRPr="00000000">
          <w:rPr>
            <w:color w:val="1155cc"/>
            <w:sz w:val="24"/>
            <w:szCs w:val="24"/>
            <w:u w:val="single"/>
            <w:rtl w:val="0"/>
          </w:rPr>
          <w:t xml:space="preserve">toners</w:t>
        </w:r>
      </w:hyperlink>
      <w:r w:rsidDel="00000000" w:rsidR="00000000" w:rsidRPr="00000000">
        <w:rPr>
          <w:color w:val="1f1f1f"/>
          <w:sz w:val="24"/>
          <w:szCs w:val="24"/>
          <w:rtl w:val="0"/>
        </w:rPr>
        <w:t xml:space="preserve">,  celebra su cuarto aniversario en España y se consolida como el referente del sector en España.</w:t>
      </w:r>
    </w:p>
    <w:p w:rsidR="00000000" w:rsidDel="00000000" w:rsidP="00000000" w:rsidRDefault="00000000" w:rsidRPr="00000000" w14:paraId="00000008">
      <w:pPr>
        <w:jc w:val="both"/>
        <w:rPr>
          <w:color w:val="1f1f1f"/>
          <w:sz w:val="24"/>
          <w:szCs w:val="24"/>
        </w:rPr>
      </w:pPr>
      <w:r w:rsidDel="00000000" w:rsidR="00000000" w:rsidRPr="00000000">
        <w:rPr>
          <w:color w:val="1f1f1f"/>
          <w:sz w:val="24"/>
          <w:szCs w:val="24"/>
          <w:rtl w:val="0"/>
        </w:rPr>
        <w:t xml:space="preserve">Desde su lanzamiento en junio de 2021, la compañía ha mantenido un crecimiento constante guiado por la cercanía y atención al cliente, la eficacia en sus procesos y una oferta cada vez más diversificada, además de la entrega en 24 horas. </w:t>
      </w:r>
    </w:p>
    <w:p w:rsidR="00000000" w:rsidDel="00000000" w:rsidP="00000000" w:rsidRDefault="00000000" w:rsidRPr="00000000" w14:paraId="00000009">
      <w:pPr>
        <w:jc w:val="both"/>
        <w:rPr>
          <w:b w:val="1"/>
          <w:color w:val="1f1f1f"/>
          <w:sz w:val="24"/>
          <w:szCs w:val="24"/>
        </w:rPr>
      </w:pPr>
      <w:r w:rsidDel="00000000" w:rsidR="00000000" w:rsidRPr="00000000">
        <w:rPr>
          <w:b w:val="1"/>
          <w:color w:val="1f1f1f"/>
          <w:sz w:val="24"/>
          <w:szCs w:val="24"/>
          <w:rtl w:val="0"/>
        </w:rPr>
        <w:t xml:space="preserve">Liderazgo en consumibles y expansión del catálogo</w:t>
      </w:r>
    </w:p>
    <w:p w:rsidR="00000000" w:rsidDel="00000000" w:rsidP="00000000" w:rsidRDefault="00000000" w:rsidRPr="00000000" w14:paraId="0000000A">
      <w:pPr>
        <w:jc w:val="both"/>
        <w:rPr>
          <w:b w:val="1"/>
          <w:color w:val="1f1f1f"/>
          <w:sz w:val="24"/>
          <w:szCs w:val="24"/>
        </w:rPr>
      </w:pPr>
      <w:r w:rsidDel="00000000" w:rsidR="00000000" w:rsidRPr="00000000">
        <w:rPr>
          <w:color w:val="1f1f1f"/>
          <w:sz w:val="24"/>
          <w:szCs w:val="24"/>
          <w:rtl w:val="0"/>
        </w:rPr>
        <w:t xml:space="preserve">La estrategia comercial de 123tinta.es se centra </w:t>
      </w:r>
      <w:r w:rsidDel="00000000" w:rsidR="00000000" w:rsidRPr="00000000">
        <w:rPr>
          <w:color w:val="1f1f1f"/>
          <w:sz w:val="24"/>
          <w:szCs w:val="24"/>
          <w:rtl w:val="0"/>
        </w:rPr>
        <w:t xml:space="preserve">en reafirmar su posición como</w:t>
      </w:r>
      <w:r w:rsidDel="00000000" w:rsidR="00000000" w:rsidRPr="00000000">
        <w:rPr>
          <w:rFonts w:ascii="Roboto" w:cs="Roboto" w:eastAsia="Roboto" w:hAnsi="Roboto"/>
          <w:b w:val="1"/>
          <w:color w:val="444746"/>
          <w:sz w:val="21"/>
          <w:szCs w:val="21"/>
          <w:highlight w:val="white"/>
          <w:rtl w:val="0"/>
        </w:rPr>
        <w:t xml:space="preserve"> </w:t>
      </w:r>
      <w:r w:rsidDel="00000000" w:rsidR="00000000" w:rsidRPr="00000000">
        <w:rPr>
          <w:color w:val="1f1f1f"/>
          <w:sz w:val="24"/>
          <w:szCs w:val="24"/>
          <w:rtl w:val="0"/>
        </w:rPr>
        <w:t xml:space="preserve">líder en el segmento de consumibles de tinta y tóner</w:t>
      </w:r>
      <w:r w:rsidDel="00000000" w:rsidR="00000000" w:rsidRPr="00000000">
        <w:rPr>
          <w:color w:val="1f1f1f"/>
          <w:sz w:val="24"/>
          <w:szCs w:val="24"/>
          <w:rtl w:val="0"/>
        </w:rPr>
        <w:t xml:space="preserve"> al tiempo que amplía su gama de productos esenciales para el hogar y la oficina. Por esta razón, en el último año su catálogo ha crecido aproximadamente un 10% y ha incorporado nuevas referencias en categorías como luces LED o productos de limpieza, entre otros. Actualmente, </w:t>
      </w:r>
      <w:hyperlink r:id="rId10">
        <w:r w:rsidDel="00000000" w:rsidR="00000000" w:rsidRPr="00000000">
          <w:rPr>
            <w:color w:val="1155cc"/>
            <w:sz w:val="24"/>
            <w:szCs w:val="24"/>
            <w:u w:val="single"/>
            <w:rtl w:val="0"/>
          </w:rPr>
          <w:t xml:space="preserve">123tinta.es</w:t>
        </w:r>
      </w:hyperlink>
      <w:r w:rsidDel="00000000" w:rsidR="00000000" w:rsidRPr="00000000">
        <w:rPr>
          <w:color w:val="1f1f1f"/>
          <w:sz w:val="24"/>
          <w:szCs w:val="24"/>
          <w:rtl w:val="0"/>
        </w:rPr>
        <w:t xml:space="preserve"> ofrece cerca de 28.000 referencias en su web.</w:t>
      </w:r>
      <w:r w:rsidDel="00000000" w:rsidR="00000000" w:rsidRPr="00000000">
        <w:rPr>
          <w:rtl w:val="0"/>
        </w:rPr>
      </w:r>
    </w:p>
    <w:p w:rsidR="00000000" w:rsidDel="00000000" w:rsidP="00000000" w:rsidRDefault="00000000" w:rsidRPr="00000000" w14:paraId="0000000B">
      <w:pPr>
        <w:jc w:val="both"/>
        <w:rPr>
          <w:b w:val="1"/>
          <w:color w:val="1f1f1f"/>
          <w:sz w:val="24"/>
          <w:szCs w:val="24"/>
        </w:rPr>
      </w:pPr>
      <w:r w:rsidDel="00000000" w:rsidR="00000000" w:rsidRPr="00000000">
        <w:rPr>
          <w:b w:val="1"/>
          <w:color w:val="1f1f1f"/>
          <w:sz w:val="24"/>
          <w:szCs w:val="24"/>
          <w:rtl w:val="0"/>
        </w:rPr>
        <w:t xml:space="preserve">Cuatro años de crecimiento sostenido</w:t>
      </w:r>
    </w:p>
    <w:p w:rsidR="00000000" w:rsidDel="00000000" w:rsidP="00000000" w:rsidRDefault="00000000" w:rsidRPr="00000000" w14:paraId="0000000C">
      <w:pPr>
        <w:jc w:val="both"/>
        <w:rPr>
          <w:color w:val="1f1f1f"/>
          <w:sz w:val="24"/>
          <w:szCs w:val="24"/>
        </w:rPr>
      </w:pPr>
      <w:r w:rsidDel="00000000" w:rsidR="00000000" w:rsidRPr="00000000">
        <w:rPr>
          <w:color w:val="1f1f1f"/>
          <w:sz w:val="24"/>
          <w:szCs w:val="24"/>
          <w:rtl w:val="0"/>
        </w:rPr>
        <w:t xml:space="preserve">El crecimiento de la empresa ha sido constante. Este avance ha sido posible gracias al compromiso del equipo humano, que ha permitido mejorar de forma continua tanto la atención al cliente como la eficiencia interna.</w:t>
      </w:r>
    </w:p>
    <w:p w:rsidR="00000000" w:rsidDel="00000000" w:rsidP="00000000" w:rsidRDefault="00000000" w:rsidRPr="00000000" w14:paraId="0000000D">
      <w:pPr>
        <w:spacing w:after="160" w:line="278.00000000000006" w:lineRule="auto"/>
        <w:jc w:val="both"/>
        <w:rPr>
          <w:color w:val="1f1f1f"/>
          <w:sz w:val="24"/>
          <w:szCs w:val="24"/>
        </w:rPr>
      </w:pPr>
      <w:r w:rsidDel="00000000" w:rsidR="00000000" w:rsidRPr="00000000">
        <w:rPr>
          <w:color w:val="1f1f1f"/>
          <w:sz w:val="24"/>
          <w:szCs w:val="24"/>
          <w:rtl w:val="0"/>
        </w:rPr>
        <w:t xml:space="preserve">Ramiro Bresler, portavoz de la compañía, afirma que “</w:t>
      </w:r>
      <w:r w:rsidDel="00000000" w:rsidR="00000000" w:rsidRPr="00000000">
        <w:rPr>
          <w:color w:val="1f1f1f"/>
          <w:sz w:val="24"/>
          <w:szCs w:val="24"/>
          <w:rtl w:val="0"/>
        </w:rPr>
        <w:t xml:space="preserve">lo más importante es la satisfacción y el compromiso con el cliente.</w:t>
      </w:r>
      <w:r w:rsidDel="00000000" w:rsidR="00000000" w:rsidRPr="00000000">
        <w:rPr>
          <w:color w:val="1f1f1f"/>
          <w:sz w:val="24"/>
          <w:szCs w:val="24"/>
          <w:rtl w:val="0"/>
        </w:rPr>
        <w:t xml:space="preserve"> Tenemos claro lo que ofrecemos y cumplimos lo que prometemos: precios competitivos con una política de mejor precio garantizado, productos de calidad con garantía de por vida en nuestra marca propia, entregas en 24 horas para todo lo que tenemos en stock, y una atención al cliente cercana sin robots ni respuestas automáticas. 1-2-3 ¡listo!... así de simple.”</w:t>
      </w:r>
    </w:p>
    <w:p w:rsidR="00000000" w:rsidDel="00000000" w:rsidP="00000000" w:rsidRDefault="00000000" w:rsidRPr="00000000" w14:paraId="0000000E">
      <w:pPr>
        <w:spacing w:after="160" w:line="278.00000000000006" w:lineRule="auto"/>
        <w:jc w:val="both"/>
        <w:rPr>
          <w:b w:val="1"/>
          <w:sz w:val="24"/>
          <w:szCs w:val="24"/>
        </w:rPr>
      </w:pPr>
      <w:r w:rsidDel="00000000" w:rsidR="00000000" w:rsidRPr="00000000">
        <w:rPr>
          <w:b w:val="1"/>
          <w:sz w:val="24"/>
          <w:szCs w:val="24"/>
          <w:rtl w:val="0"/>
        </w:rPr>
        <w:t xml:space="preserve">Compromiso social, sostenible y deportivo</w:t>
      </w:r>
    </w:p>
    <w:p w:rsidR="00000000" w:rsidDel="00000000" w:rsidP="00000000" w:rsidRDefault="00000000" w:rsidRPr="00000000" w14:paraId="0000000F">
      <w:pPr>
        <w:spacing w:after="160" w:line="278.00000000000006" w:lineRule="auto"/>
        <w:jc w:val="both"/>
        <w:rPr>
          <w:sz w:val="24"/>
          <w:szCs w:val="24"/>
        </w:rPr>
      </w:pPr>
      <w:r w:rsidDel="00000000" w:rsidR="00000000" w:rsidRPr="00000000">
        <w:rPr>
          <w:sz w:val="24"/>
          <w:szCs w:val="24"/>
          <w:rtl w:val="0"/>
        </w:rPr>
        <w:t xml:space="preserve">Durante estos cuatro años, </w:t>
      </w:r>
      <w:hyperlink r:id="rId11">
        <w:r w:rsidDel="00000000" w:rsidR="00000000" w:rsidRPr="00000000">
          <w:rPr>
            <w:sz w:val="24"/>
            <w:szCs w:val="24"/>
            <w:u w:val="single"/>
            <w:rtl w:val="0"/>
          </w:rPr>
          <w:t xml:space="preserve">123tinta.es</w:t>
        </w:r>
      </w:hyperlink>
      <w:r w:rsidDel="00000000" w:rsidR="00000000" w:rsidRPr="00000000">
        <w:rPr>
          <w:sz w:val="24"/>
          <w:szCs w:val="24"/>
          <w:rtl w:val="0"/>
        </w:rPr>
        <w:t xml:space="preserve"> también ha llevado a cabo diversas acciones que refuerzan su compromiso con la sostenibilidad, la solidaridad y el deporte. Entre ellas, destaca su patrocinio al Club de Balonmano Guadalajara, muestra de apoyo al deporte local. </w:t>
      </w:r>
    </w:p>
    <w:p w:rsidR="00000000" w:rsidDel="00000000" w:rsidP="00000000" w:rsidRDefault="00000000" w:rsidRPr="00000000" w14:paraId="00000010">
      <w:pPr>
        <w:spacing w:after="160" w:line="278.00000000000006" w:lineRule="auto"/>
        <w:jc w:val="both"/>
        <w:rPr>
          <w:sz w:val="24"/>
          <w:szCs w:val="24"/>
        </w:rPr>
      </w:pPr>
      <w:r w:rsidDel="00000000" w:rsidR="00000000" w:rsidRPr="00000000">
        <w:rPr>
          <w:sz w:val="24"/>
          <w:szCs w:val="24"/>
          <w:rtl w:val="0"/>
        </w:rPr>
        <w:t xml:space="preserve">En el ámbito social, la compañía organizó una campaña de recogida de material escolar para ayudar a las familias afectadas por la tragedia de la </w:t>
      </w:r>
      <w:r w:rsidDel="00000000" w:rsidR="00000000" w:rsidRPr="00000000">
        <w:rPr>
          <w:sz w:val="24"/>
          <w:szCs w:val="24"/>
          <w:rtl w:val="0"/>
        </w:rPr>
        <w:t xml:space="preserve">DANA</w:t>
      </w:r>
      <w:r w:rsidDel="00000000" w:rsidR="00000000" w:rsidRPr="00000000">
        <w:rPr>
          <w:sz w:val="24"/>
          <w:szCs w:val="24"/>
          <w:rtl w:val="0"/>
        </w:rPr>
        <w:t xml:space="preserve"> de Valencia de octubre de 2024, mostrando su solidaridad con escuelas y centros educativos. </w:t>
      </w:r>
    </w:p>
    <w:p w:rsidR="00000000" w:rsidDel="00000000" w:rsidP="00000000" w:rsidRDefault="00000000" w:rsidRPr="00000000" w14:paraId="00000011">
      <w:pPr>
        <w:spacing w:after="160" w:line="278.00000000000006" w:lineRule="auto"/>
        <w:jc w:val="both"/>
        <w:rPr>
          <w:b w:val="1"/>
          <w:sz w:val="24"/>
          <w:szCs w:val="24"/>
        </w:rPr>
      </w:pPr>
      <w:r w:rsidDel="00000000" w:rsidR="00000000" w:rsidRPr="00000000">
        <w:rPr>
          <w:sz w:val="24"/>
          <w:szCs w:val="24"/>
          <w:rtl w:val="0"/>
        </w:rPr>
        <w:t xml:space="preserve">Además, ha puesto en marcha distintas iniciativas para la recogida de cartuchos de tinta y tóner vacíos para fomentar así la economía circular y reforzar su implicación con el medio ambiente mediante prácticas sostenibles. </w:t>
      </w:r>
      <w:r w:rsidDel="00000000" w:rsidR="00000000" w:rsidRPr="00000000">
        <w:rPr>
          <w:rtl w:val="0"/>
        </w:rPr>
      </w:r>
    </w:p>
    <w:p w:rsidR="00000000" w:rsidDel="00000000" w:rsidP="00000000" w:rsidRDefault="00000000" w:rsidRPr="00000000" w14:paraId="00000012">
      <w:pPr>
        <w:spacing w:after="160" w:line="278.00000000000006" w:lineRule="auto"/>
        <w:jc w:val="both"/>
        <w:rPr>
          <w:b w:val="1"/>
          <w:color w:val="1f1f1f"/>
          <w:sz w:val="24"/>
          <w:szCs w:val="24"/>
        </w:rPr>
      </w:pPr>
      <w:r w:rsidDel="00000000" w:rsidR="00000000" w:rsidRPr="00000000">
        <w:rPr>
          <w:b w:val="1"/>
          <w:color w:val="1f1f1f"/>
          <w:sz w:val="24"/>
          <w:szCs w:val="24"/>
          <w:rtl w:val="0"/>
        </w:rPr>
        <w:t xml:space="preserve">Un equipo consolidado y comprometido</w:t>
      </w:r>
    </w:p>
    <w:p w:rsidR="00000000" w:rsidDel="00000000" w:rsidP="00000000" w:rsidRDefault="00000000" w:rsidRPr="00000000" w14:paraId="00000013">
      <w:pPr>
        <w:spacing w:after="160" w:line="278.00000000000006" w:lineRule="auto"/>
        <w:jc w:val="both"/>
        <w:rPr>
          <w:color w:val="1f1f1f"/>
          <w:sz w:val="24"/>
          <w:szCs w:val="24"/>
        </w:rPr>
      </w:pPr>
      <w:r w:rsidDel="00000000" w:rsidR="00000000" w:rsidRPr="00000000">
        <w:rPr>
          <w:color w:val="1f1f1f"/>
          <w:sz w:val="24"/>
          <w:szCs w:val="24"/>
          <w:rtl w:val="0"/>
        </w:rPr>
        <w:t xml:space="preserve">La plantilla de </w:t>
      </w:r>
      <w:hyperlink r:id="rId12">
        <w:r w:rsidDel="00000000" w:rsidR="00000000" w:rsidRPr="00000000">
          <w:rPr>
            <w:color w:val="1155cc"/>
            <w:sz w:val="24"/>
            <w:szCs w:val="24"/>
            <w:u w:val="single"/>
            <w:rtl w:val="0"/>
          </w:rPr>
          <w:t xml:space="preserve">123tinta</w:t>
        </w:r>
      </w:hyperlink>
      <w:hyperlink r:id="rId13">
        <w:r w:rsidDel="00000000" w:rsidR="00000000" w:rsidRPr="00000000">
          <w:rPr>
            <w:color w:val="1155cc"/>
            <w:sz w:val="24"/>
            <w:szCs w:val="24"/>
            <w:u w:val="single"/>
            <w:rtl w:val="0"/>
          </w:rPr>
          <w:t xml:space="preserve">.es</w:t>
        </w:r>
      </w:hyperlink>
      <w:r w:rsidDel="00000000" w:rsidR="00000000" w:rsidRPr="00000000">
        <w:rPr>
          <w:color w:val="1f1f1f"/>
          <w:sz w:val="24"/>
          <w:szCs w:val="24"/>
          <w:rtl w:val="0"/>
        </w:rPr>
        <w:t xml:space="preserve"> es otro de los pilares de su éxito. La antigüedad media del personal se sitúa en 2,75 años, con más del 60% de los empleados superando ese tiempo en la empresa. Además, el 95% de los trabajadores cuenta con contrato indefinido. La apuesta por el talento interno también es clara: el 66% de los puestos se ha cubierto mediante promoción interna y más del 25% del equipo actual procede de programas de prácticas. </w:t>
      </w:r>
    </w:p>
    <w:p w:rsidR="00000000" w:rsidDel="00000000" w:rsidP="00000000" w:rsidRDefault="00000000" w:rsidRPr="00000000" w14:paraId="00000014">
      <w:pPr>
        <w:spacing w:after="240" w:before="240" w:line="278.00000000000006" w:lineRule="auto"/>
        <w:jc w:val="both"/>
        <w:rPr>
          <w:b w:val="1"/>
          <w:color w:val="1f1f1f"/>
          <w:sz w:val="24"/>
          <w:szCs w:val="24"/>
        </w:rPr>
      </w:pPr>
      <w:r w:rsidDel="00000000" w:rsidR="00000000" w:rsidRPr="00000000">
        <w:rPr>
          <w:b w:val="1"/>
          <w:color w:val="1f1f1f"/>
          <w:sz w:val="24"/>
          <w:szCs w:val="24"/>
          <w:rtl w:val="0"/>
        </w:rPr>
        <w:t xml:space="preserve">Mirando al futuro</w:t>
      </w:r>
    </w:p>
    <w:p w:rsidR="00000000" w:rsidDel="00000000" w:rsidP="00000000" w:rsidRDefault="00000000" w:rsidRPr="00000000" w14:paraId="00000015">
      <w:pPr>
        <w:spacing w:after="240" w:before="240" w:line="278.00000000000006" w:lineRule="auto"/>
        <w:jc w:val="both"/>
        <w:rPr>
          <w:color w:val="1f1f1f"/>
          <w:sz w:val="24"/>
          <w:szCs w:val="24"/>
        </w:rPr>
      </w:pPr>
      <w:r w:rsidDel="00000000" w:rsidR="00000000" w:rsidRPr="00000000">
        <w:rPr>
          <w:color w:val="1f1f1f"/>
          <w:sz w:val="24"/>
          <w:szCs w:val="24"/>
          <w:rtl w:val="0"/>
        </w:rPr>
        <w:t xml:space="preserve">Tras cumplir cuatro años en el mercado español, 123tinta.es sigue apostando por una estrategia clara: </w:t>
      </w:r>
      <w:r w:rsidDel="00000000" w:rsidR="00000000" w:rsidRPr="00000000">
        <w:rPr>
          <w:b w:val="1"/>
          <w:color w:val="1f1f1f"/>
          <w:sz w:val="24"/>
          <w:szCs w:val="24"/>
          <w:rtl w:val="0"/>
        </w:rPr>
        <w:t xml:space="preserve">crecer junto a sus clientes, diversificar su catálogo con productos de calidad, y ofrecer un servicio cercano, rápido y fiable</w:t>
      </w:r>
      <w:r w:rsidDel="00000000" w:rsidR="00000000" w:rsidRPr="00000000">
        <w:rPr>
          <w:color w:val="1f1f1f"/>
          <w:sz w:val="24"/>
          <w:szCs w:val="24"/>
          <w:rtl w:val="0"/>
        </w:rPr>
        <w:t xml:space="preserve">. Este hecho refuerza la motivación de la compañía para seguir mejorando día a día.</w:t>
      </w:r>
      <w:r w:rsidDel="00000000" w:rsidR="00000000" w:rsidRPr="00000000">
        <w:rPr>
          <w:rtl w:val="0"/>
        </w:rPr>
      </w:r>
    </w:p>
    <w:p w:rsidR="00000000" w:rsidDel="00000000" w:rsidP="00000000" w:rsidRDefault="00000000" w:rsidRPr="00000000" w14:paraId="00000016">
      <w:pPr>
        <w:jc w:val="both"/>
        <w:rPr>
          <w:b w:val="1"/>
          <w:color w:val="1f1f1f"/>
        </w:rPr>
      </w:pPr>
      <w:r w:rsidDel="00000000" w:rsidR="00000000" w:rsidRPr="00000000">
        <w:rPr>
          <w:b w:val="1"/>
          <w:i w:val="1"/>
          <w:sz w:val="20"/>
          <w:szCs w:val="20"/>
          <w:u w:val="single"/>
          <w:rtl w:val="0"/>
        </w:rPr>
        <w:t xml:space="preserve">Sobre </w:t>
      </w:r>
      <w:r w:rsidDel="00000000" w:rsidR="00000000" w:rsidRPr="00000000">
        <w:rPr>
          <w:b w:val="1"/>
          <w:i w:val="1"/>
          <w:sz w:val="20"/>
          <w:szCs w:val="20"/>
          <w:u w:val="single"/>
          <w:rtl w:val="0"/>
        </w:rPr>
        <w:t xml:space="preserve">123tinta</w:t>
      </w:r>
      <w:r w:rsidDel="00000000" w:rsidR="00000000" w:rsidRPr="00000000">
        <w:rPr>
          <w:rtl w:val="0"/>
        </w:rPr>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9">
      <w:pPr>
        <w:spacing w:after="0" w:line="276" w:lineRule="auto"/>
        <w:rPr/>
      </w:pPr>
      <w:r w:rsidDel="00000000" w:rsidR="00000000" w:rsidRPr="00000000">
        <w:rPr>
          <w:rtl w:val="0"/>
        </w:rPr>
      </w:r>
    </w:p>
    <w:p w:rsidR="00000000" w:rsidDel="00000000" w:rsidP="00000000" w:rsidRDefault="00000000" w:rsidRPr="00000000" w14:paraId="0000001A">
      <w:pPr>
        <w:spacing w:after="0" w:line="276" w:lineRule="auto"/>
        <w:rPr>
          <w:b w:val="1"/>
          <w:sz w:val="20"/>
          <w:szCs w:val="20"/>
        </w:rPr>
      </w:pPr>
      <w:r w:rsidDel="00000000" w:rsidR="00000000" w:rsidRPr="00000000">
        <w:rPr>
          <w:b w:val="1"/>
          <w:sz w:val="20"/>
          <w:szCs w:val="20"/>
          <w:rtl w:val="0"/>
        </w:rPr>
        <w:t xml:space="preserve">Más información:</w:t>
      </w:r>
    </w:p>
    <w:p w:rsidR="00000000" w:rsidDel="00000000" w:rsidP="00000000" w:rsidRDefault="00000000" w:rsidRPr="00000000" w14:paraId="0000001B">
      <w:pPr>
        <w:spacing w:after="0" w:line="276" w:lineRule="auto"/>
        <w:rPr>
          <w:b w:val="1"/>
          <w:sz w:val="20"/>
          <w:szCs w:val="20"/>
          <w:u w:val="single"/>
        </w:rPr>
      </w:pPr>
      <w:r w:rsidDel="00000000" w:rsidR="00000000" w:rsidRPr="00000000">
        <w:rPr>
          <w:b w:val="1"/>
          <w:sz w:val="20"/>
          <w:szCs w:val="20"/>
          <w:u w:val="single"/>
          <w:rtl w:val="0"/>
        </w:rPr>
        <w:t xml:space="preserve">Actitud de Comunicación</w:t>
      </w:r>
    </w:p>
    <w:p w:rsidR="00000000" w:rsidDel="00000000" w:rsidP="00000000" w:rsidRDefault="00000000" w:rsidRPr="00000000" w14:paraId="0000001C">
      <w:pPr>
        <w:spacing w:after="0" w:line="276" w:lineRule="auto"/>
        <w:rPr>
          <w:sz w:val="20"/>
          <w:szCs w:val="20"/>
        </w:rPr>
      </w:pPr>
      <w:r w:rsidDel="00000000" w:rsidR="00000000" w:rsidRPr="00000000">
        <w:rPr>
          <w:sz w:val="20"/>
          <w:szCs w:val="20"/>
          <w:rtl w:val="0"/>
        </w:rPr>
        <w:t xml:space="preserve">Virginia Ayala: </w:t>
      </w:r>
      <w:hyperlink r:id="rId14">
        <w:r w:rsidDel="00000000" w:rsidR="00000000" w:rsidRPr="00000000">
          <w:rPr>
            <w:color w:val="1155cc"/>
            <w:sz w:val="20"/>
            <w:szCs w:val="20"/>
            <w:u w:val="single"/>
            <w:rtl w:val="0"/>
          </w:rPr>
          <w:t xml:space="preserve">comunicacion@actitud.es</w:t>
        </w:r>
      </w:hyperlink>
      <w:r w:rsidDel="00000000" w:rsidR="00000000" w:rsidRPr="00000000">
        <w:rPr>
          <w:rtl w:val="0"/>
        </w:rPr>
      </w:r>
    </w:p>
    <w:p w:rsidR="00000000" w:rsidDel="00000000" w:rsidP="00000000" w:rsidRDefault="00000000" w:rsidRPr="00000000" w14:paraId="0000001D">
      <w:pPr>
        <w:spacing w:after="0" w:line="276" w:lineRule="auto"/>
        <w:rPr>
          <w:b w:val="1"/>
          <w:i w:val="1"/>
          <w:sz w:val="20"/>
          <w:szCs w:val="20"/>
          <w:highlight w:val="yellow"/>
          <w:u w:val="single"/>
        </w:rPr>
      </w:pPr>
      <w:r w:rsidDel="00000000" w:rsidR="00000000" w:rsidRPr="00000000">
        <w:rPr>
          <w:sz w:val="20"/>
          <w:szCs w:val="20"/>
          <w:rtl w:val="0"/>
        </w:rPr>
        <w:t xml:space="preserve">Teléfono: 913 02 28 60</w:t>
      </w:r>
      <w:r w:rsidDel="00000000" w:rsidR="00000000" w:rsidRPr="00000000">
        <w:rPr>
          <w:rtl w:val="0"/>
        </w:rPr>
      </w:r>
    </w:p>
    <w:sectPr>
      <w:headerReference r:id="rId15" w:type="default"/>
      <w:footerReference r:id="rId16"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9999"/>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252"/>
        <w:tab w:val="right" w:leader="none" w:pos="8504"/>
      </w:tabs>
      <w:spacing w:after="0" w:line="240" w:lineRule="auto"/>
      <w:ind w:firstLine="72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4686300</wp:posOffset>
          </wp:positionH>
          <wp:positionV relativeFrom="paragraph">
            <wp:posOffset>-137791</wp:posOffset>
          </wp:positionV>
          <wp:extent cx="1532433" cy="761683"/>
          <wp:effectExtent b="0" l="0" r="0" t="0"/>
          <wp:wrapNone/>
          <wp:docPr id="12" name="image1.png"/>
          <a:graphic>
            <a:graphicData uri="http://schemas.openxmlformats.org/drawingml/2006/picture">
              <pic:pic>
                <pic:nvPicPr>
                  <pic:cNvPr id="0" name="image1.png"/>
                  <pic:cNvPicPr preferRelativeResize="0"/>
                </pic:nvPicPr>
                <pic:blipFill>
                  <a:blip r:embed="rId1"/>
                  <a:srcRect b="-12583" l="-23179" r="-7862" t="-42719"/>
                  <a:stretch>
                    <a:fillRect/>
                  </a:stretch>
                </pic:blipFill>
                <pic:spPr>
                  <a:xfrm>
                    <a:off x="0" y="0"/>
                    <a:ext cx="1532433" cy="761683"/>
                  </a:xfrm>
                  <a:prstGeom prst="rect"/>
                  <a:ln/>
                </pic:spPr>
              </pic:pic>
            </a:graphicData>
          </a:graphic>
        </wp:anchor>
      </w:drawing>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0"/>
        <w:szCs w:val="1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123tinta.es" TargetMode="External"/><Relationship Id="rId10" Type="http://schemas.openxmlformats.org/officeDocument/2006/relationships/hyperlink" Target="http://123tinta.es" TargetMode="External"/><Relationship Id="rId13" Type="http://schemas.openxmlformats.org/officeDocument/2006/relationships/hyperlink" Target="http://123tinta.es" TargetMode="External"/><Relationship Id="rId12" Type="http://schemas.openxmlformats.org/officeDocument/2006/relationships/hyperlink" Target="http://123tint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23tinta.es/Toner-impresoras-laser-p4016.html" TargetMode="External"/><Relationship Id="rId15" Type="http://schemas.openxmlformats.org/officeDocument/2006/relationships/header" Target="header1.xml"/><Relationship Id="rId14" Type="http://schemas.openxmlformats.org/officeDocument/2006/relationships/hyperlink" Target="mailto:comunicacion@actitud.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123tinta.es/Cartuchos-de-tinta-p1.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Wl1a7NEjMjuudcPWXcL8oZ6gA==">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2022-03-25T11:44:00Z</dcterms:created>
  <dc:creator>actitud</dc:creator>
</cp:coreProperties>
</file>