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ind w:firstLine="0"/>
        <w:jc w:val="both"/>
      </w:pPr>
      <w:r>
        <w:rPr/>
        <w:t>L’Association</w:t>
      </w:r>
      <w:r>
        <w:rPr>
          <w:spacing w:val="-11"/>
        </w:rPr>
        <w:t> </w:t>
      </w:r>
      <w:r>
        <w:rPr/>
        <w:t>des</w:t>
      </w:r>
      <w:r>
        <w:rPr>
          <w:spacing w:val="-11"/>
        </w:rPr>
        <w:t> </w:t>
      </w:r>
      <w:r>
        <w:rPr/>
        <w:t>Défenseurs</w:t>
      </w:r>
      <w:r>
        <w:rPr>
          <w:spacing w:val="-11"/>
        </w:rPr>
        <w:t> </w:t>
      </w:r>
      <w:r>
        <w:rPr/>
        <w:t>des</w:t>
      </w:r>
      <w:r>
        <w:rPr>
          <w:spacing w:val="-11"/>
        </w:rPr>
        <w:t> </w:t>
      </w:r>
      <w:r>
        <w:rPr/>
        <w:t>Droits</w:t>
      </w:r>
      <w:r>
        <w:rPr>
          <w:spacing w:val="-11"/>
        </w:rPr>
        <w:t> </w:t>
      </w:r>
      <w:r>
        <w:rPr/>
        <w:t>des</w:t>
      </w:r>
      <w:r>
        <w:rPr>
          <w:spacing w:val="-11"/>
        </w:rPr>
        <w:t> </w:t>
      </w:r>
      <w:r>
        <w:rPr/>
        <w:t>Passagers</w:t>
      </w:r>
      <w:r>
        <w:rPr>
          <w:spacing w:val="-11"/>
        </w:rPr>
        <w:t> </w:t>
      </w:r>
      <w:r>
        <w:rPr/>
        <w:t>(APRA)</w:t>
      </w:r>
      <w:r>
        <w:rPr>
          <w:spacing w:val="-11"/>
        </w:rPr>
        <w:t> </w:t>
      </w:r>
      <w:r>
        <w:rPr/>
        <w:t>alerte</w:t>
      </w:r>
      <w:r>
        <w:rPr>
          <w:spacing w:val="-11"/>
        </w:rPr>
        <w:t> </w:t>
      </w:r>
      <w:r>
        <w:rPr>
          <w:spacing w:val="-10"/>
        </w:rPr>
        <w:t>:</w:t>
      </w:r>
    </w:p>
    <w:p>
      <w:pPr>
        <w:pStyle w:val="Title"/>
      </w:pPr>
      <w:r>
        <w:rPr/>
        <w:t>Le</w:t>
      </w:r>
      <w:r>
        <w:rPr>
          <w:spacing w:val="-6"/>
        </w:rPr>
        <w:t> </w:t>
      </w:r>
      <w:r>
        <w:rPr/>
        <w:t>Conseil</w:t>
      </w:r>
      <w:r>
        <w:rPr>
          <w:spacing w:val="-6"/>
        </w:rPr>
        <w:t> </w:t>
      </w:r>
      <w:r>
        <w:rPr/>
        <w:t>de</w:t>
      </w:r>
      <w:r>
        <w:rPr>
          <w:spacing w:val="-6"/>
        </w:rPr>
        <w:t> </w:t>
      </w:r>
      <w:r>
        <w:rPr/>
        <w:t>l'UE</w:t>
      </w:r>
      <w:r>
        <w:rPr>
          <w:spacing w:val="-6"/>
        </w:rPr>
        <w:t> </w:t>
      </w:r>
      <w:r>
        <w:rPr/>
        <w:t>veut</w:t>
      </w:r>
      <w:r>
        <w:rPr>
          <w:spacing w:val="-6"/>
        </w:rPr>
        <w:t> </w:t>
      </w:r>
      <w:r>
        <w:rPr/>
        <w:t>réduire</w:t>
      </w:r>
      <w:r>
        <w:rPr>
          <w:spacing w:val="-6"/>
        </w:rPr>
        <w:t> </w:t>
      </w:r>
      <w:r>
        <w:rPr/>
        <w:t>de</w:t>
      </w:r>
      <w:r>
        <w:rPr>
          <w:spacing w:val="-6"/>
        </w:rPr>
        <w:t> </w:t>
      </w:r>
      <w:r>
        <w:rPr/>
        <w:t>moitié</w:t>
      </w:r>
      <w:r>
        <w:rPr>
          <w:spacing w:val="-6"/>
        </w:rPr>
        <w:t> </w:t>
      </w:r>
      <w:r>
        <w:rPr/>
        <w:t>les</w:t>
      </w:r>
      <w:r>
        <w:rPr>
          <w:spacing w:val="-6"/>
        </w:rPr>
        <w:t> </w:t>
      </w:r>
      <w:r>
        <w:rPr/>
        <w:t>droits</w:t>
      </w:r>
      <w:r>
        <w:rPr>
          <w:spacing w:val="-6"/>
        </w:rPr>
        <w:t> </w:t>
      </w:r>
      <w:r>
        <w:rPr/>
        <w:t>des passagers aériens en cas de retard</w:t>
      </w:r>
    </w:p>
    <w:p>
      <w:pPr>
        <w:pStyle w:val="Heading1"/>
        <w:numPr>
          <w:ilvl w:val="0"/>
          <w:numId w:val="1"/>
        </w:numPr>
        <w:tabs>
          <w:tab w:pos="743" w:val="left" w:leader="none"/>
        </w:tabs>
        <w:spacing w:line="240" w:lineRule="auto" w:before="197" w:after="0"/>
        <w:ind w:left="743" w:right="94" w:hanging="360"/>
        <w:jc w:val="left"/>
        <w:rPr>
          <w:rFonts w:ascii="Arial" w:hAnsi="Arial"/>
        </w:rPr>
      </w:pPr>
      <w:r>
        <w:rPr/>
        <w:t>Les</w:t>
      </w:r>
      <w:r>
        <w:rPr>
          <w:spacing w:val="-5"/>
        </w:rPr>
        <w:t> </w:t>
      </w:r>
      <w:r>
        <w:rPr/>
        <w:t>États</w:t>
      </w:r>
      <w:r>
        <w:rPr>
          <w:spacing w:val="-5"/>
        </w:rPr>
        <w:t> </w:t>
      </w:r>
      <w:r>
        <w:rPr/>
        <w:t>membres</w:t>
      </w:r>
      <w:r>
        <w:rPr>
          <w:spacing w:val="-5"/>
        </w:rPr>
        <w:t> </w:t>
      </w:r>
      <w:r>
        <w:rPr/>
        <w:t>de</w:t>
      </w:r>
      <w:r>
        <w:rPr>
          <w:spacing w:val="-5"/>
        </w:rPr>
        <w:t> </w:t>
      </w:r>
      <w:r>
        <w:rPr/>
        <w:t>l'UE</w:t>
      </w:r>
      <w:r>
        <w:rPr>
          <w:spacing w:val="-5"/>
        </w:rPr>
        <w:t> </w:t>
      </w:r>
      <w:r>
        <w:rPr/>
        <w:t>ont</w:t>
      </w:r>
      <w:r>
        <w:rPr>
          <w:spacing w:val="-5"/>
        </w:rPr>
        <w:t> </w:t>
      </w:r>
      <w:r>
        <w:rPr/>
        <w:t>accordé</w:t>
      </w:r>
      <w:r>
        <w:rPr>
          <w:spacing w:val="-5"/>
        </w:rPr>
        <w:t> </w:t>
      </w:r>
      <w:r>
        <w:rPr/>
        <w:t>cette</w:t>
      </w:r>
      <w:r>
        <w:rPr>
          <w:spacing w:val="-5"/>
        </w:rPr>
        <w:t> </w:t>
      </w:r>
      <w:r>
        <w:rPr/>
        <w:t>semaine</w:t>
      </w:r>
      <w:r>
        <w:rPr>
          <w:spacing w:val="-5"/>
        </w:rPr>
        <w:t> </w:t>
      </w:r>
      <w:r>
        <w:rPr/>
        <w:t>au</w:t>
      </w:r>
      <w:r>
        <w:rPr>
          <w:spacing w:val="-5"/>
        </w:rPr>
        <w:t> </w:t>
      </w:r>
      <w:r>
        <w:rPr/>
        <w:t>Conseil</w:t>
      </w:r>
      <w:r>
        <w:rPr>
          <w:spacing w:val="-5"/>
        </w:rPr>
        <w:t> </w:t>
      </w:r>
      <w:r>
        <w:rPr/>
        <w:t>un</w:t>
      </w:r>
      <w:r>
        <w:rPr>
          <w:spacing w:val="-5"/>
        </w:rPr>
        <w:t> </w:t>
      </w:r>
      <w:r>
        <w:rPr/>
        <w:t>mandat</w:t>
      </w:r>
      <w:r>
        <w:rPr>
          <w:spacing w:val="-5"/>
        </w:rPr>
        <w:t> </w:t>
      </w:r>
      <w:r>
        <w:rPr/>
        <w:t>pour</w:t>
      </w:r>
      <w:r>
        <w:rPr>
          <w:spacing w:val="-5"/>
        </w:rPr>
        <w:t> </w:t>
      </w:r>
      <w:r>
        <w:rPr/>
        <w:t>relever</w:t>
      </w:r>
      <w:r>
        <w:rPr>
          <w:spacing w:val="-5"/>
        </w:rPr>
        <w:t> </w:t>
      </w:r>
      <w:r>
        <w:rPr/>
        <w:t>le seuil d'indemnisation de 3 à 4 heures et plafonner les indemnités à 300 </w:t>
      </w:r>
      <w:r>
        <w:rPr>
          <w:rFonts w:ascii="Arial" w:hAnsi="Arial"/>
        </w:rPr>
        <w:t>€</w:t>
      </w:r>
      <w:r>
        <w:rPr>
          <w:rFonts w:ascii="Arial" w:hAnsi="Arial"/>
          <w:spacing w:val="-7"/>
        </w:rPr>
        <w:t> </w:t>
      </w:r>
      <w:r>
        <w:rPr/>
        <w:t>contre 600 </w:t>
      </w:r>
      <w:r>
        <w:rPr>
          <w:rFonts w:ascii="Arial" w:hAnsi="Arial"/>
        </w:rPr>
        <w:t>€ </w:t>
      </w:r>
      <w:r>
        <w:rPr/>
        <w:t>actuellement, quelle que soit la distance du vol.</w:t>
      </w:r>
    </w:p>
    <w:p>
      <w:pPr>
        <w:pStyle w:val="ListParagraph"/>
        <w:numPr>
          <w:ilvl w:val="0"/>
          <w:numId w:val="1"/>
        </w:numPr>
        <w:tabs>
          <w:tab w:pos="743" w:val="left" w:leader="none"/>
        </w:tabs>
        <w:spacing w:line="240" w:lineRule="auto" w:before="200" w:after="0"/>
        <w:ind w:left="743" w:right="66" w:hanging="360"/>
        <w:jc w:val="left"/>
        <w:rPr>
          <w:rFonts w:ascii="Microsoft Sans Serif" w:hAnsi="Microsoft Sans Serif"/>
          <w:sz w:val="24"/>
        </w:rPr>
      </w:pPr>
      <w:r>
        <w:rPr>
          <w:b/>
          <w:sz w:val="22"/>
        </w:rPr>
        <w:t>La réforme proposée menace un système qui fonctionne : 8 400 ans de retard évités</w:t>
      </w:r>
      <w:r>
        <w:rPr>
          <w:b/>
          <w:sz w:val="22"/>
        </w:rPr>
        <w:t> chaque</w:t>
      </w:r>
      <w:r>
        <w:rPr>
          <w:b/>
          <w:spacing w:val="-6"/>
          <w:sz w:val="22"/>
        </w:rPr>
        <w:t> </w:t>
      </w:r>
      <w:r>
        <w:rPr>
          <w:b/>
          <w:sz w:val="22"/>
        </w:rPr>
        <w:t>année,</w:t>
      </w:r>
      <w:r>
        <w:rPr>
          <w:b/>
          <w:spacing w:val="-5"/>
          <w:sz w:val="22"/>
        </w:rPr>
        <w:t> </w:t>
      </w:r>
      <w:r>
        <w:rPr>
          <w:b/>
          <w:sz w:val="22"/>
        </w:rPr>
        <w:t>un</w:t>
      </w:r>
      <w:r>
        <w:rPr>
          <w:b/>
          <w:spacing w:val="-5"/>
          <w:sz w:val="22"/>
        </w:rPr>
        <w:t> </w:t>
      </w:r>
      <w:r>
        <w:rPr>
          <w:b/>
          <w:sz w:val="22"/>
        </w:rPr>
        <w:t>coût</w:t>
      </w:r>
      <w:r>
        <w:rPr>
          <w:b/>
          <w:spacing w:val="-5"/>
          <w:sz w:val="22"/>
        </w:rPr>
        <w:t> </w:t>
      </w:r>
      <w:r>
        <w:rPr>
          <w:b/>
          <w:sz w:val="22"/>
        </w:rPr>
        <w:t>de</w:t>
      </w:r>
      <w:r>
        <w:rPr>
          <w:b/>
          <w:spacing w:val="-5"/>
          <w:sz w:val="22"/>
        </w:rPr>
        <w:t> </w:t>
      </w:r>
      <w:r>
        <w:rPr>
          <w:b/>
          <w:sz w:val="22"/>
        </w:rPr>
        <w:t>seulement</w:t>
      </w:r>
      <w:r>
        <w:rPr>
          <w:b/>
          <w:spacing w:val="-5"/>
          <w:sz w:val="22"/>
        </w:rPr>
        <w:t> </w:t>
      </w:r>
      <w:r>
        <w:rPr>
          <w:b/>
          <w:sz w:val="22"/>
        </w:rPr>
        <w:t>1,50</w:t>
      </w:r>
      <w:r>
        <w:rPr>
          <w:b/>
          <w:spacing w:val="-5"/>
          <w:sz w:val="22"/>
        </w:rPr>
        <w:t> </w:t>
      </w:r>
      <w:r>
        <w:rPr>
          <w:rFonts w:ascii="Arial" w:hAnsi="Arial"/>
          <w:b/>
          <w:sz w:val="22"/>
        </w:rPr>
        <w:t>€</w:t>
      </w:r>
      <w:r>
        <w:rPr>
          <w:rFonts w:ascii="Arial" w:hAnsi="Arial"/>
          <w:b/>
          <w:spacing w:val="-16"/>
          <w:sz w:val="22"/>
        </w:rPr>
        <w:t> </w:t>
      </w:r>
      <w:r>
        <w:rPr>
          <w:b/>
          <w:sz w:val="22"/>
        </w:rPr>
        <w:t>par</w:t>
      </w:r>
      <w:r>
        <w:rPr>
          <w:b/>
          <w:spacing w:val="-5"/>
          <w:sz w:val="22"/>
        </w:rPr>
        <w:t> </w:t>
      </w:r>
      <w:r>
        <w:rPr>
          <w:b/>
          <w:sz w:val="22"/>
        </w:rPr>
        <w:t>passager,</w:t>
      </w:r>
      <w:r>
        <w:rPr>
          <w:b/>
          <w:spacing w:val="-5"/>
          <w:sz w:val="22"/>
        </w:rPr>
        <w:t> </w:t>
      </w:r>
      <w:r>
        <w:rPr>
          <w:b/>
          <w:sz w:val="22"/>
        </w:rPr>
        <w:t>20</w:t>
      </w:r>
      <w:r>
        <w:rPr>
          <w:b/>
          <w:spacing w:val="-5"/>
          <w:sz w:val="22"/>
        </w:rPr>
        <w:t> </w:t>
      </w:r>
      <w:r>
        <w:rPr>
          <w:b/>
          <w:sz w:val="22"/>
        </w:rPr>
        <w:t>%</w:t>
      </w:r>
      <w:r>
        <w:rPr>
          <w:b/>
          <w:spacing w:val="-5"/>
          <w:sz w:val="22"/>
        </w:rPr>
        <w:t> </w:t>
      </w:r>
      <w:r>
        <w:rPr>
          <w:b/>
          <w:sz w:val="22"/>
        </w:rPr>
        <w:t>moins</w:t>
      </w:r>
      <w:r>
        <w:rPr>
          <w:b/>
          <w:spacing w:val="-5"/>
          <w:sz w:val="22"/>
        </w:rPr>
        <w:t> </w:t>
      </w:r>
      <w:r>
        <w:rPr>
          <w:b/>
          <w:sz w:val="22"/>
        </w:rPr>
        <w:t>d'annulations</w:t>
      </w:r>
      <w:r>
        <w:rPr>
          <w:b/>
          <w:spacing w:val="-5"/>
          <w:sz w:val="22"/>
        </w:rPr>
        <w:t> </w:t>
      </w:r>
      <w:r>
        <w:rPr>
          <w:b/>
          <w:sz w:val="22"/>
        </w:rPr>
        <w:t>qu'aux États-Unis, selon une étude récente</w:t>
      </w:r>
    </w:p>
    <w:p>
      <w:pPr>
        <w:pStyle w:val="Heading2"/>
        <w:numPr>
          <w:ilvl w:val="0"/>
          <w:numId w:val="1"/>
        </w:numPr>
        <w:tabs>
          <w:tab w:pos="743" w:val="left" w:leader="none"/>
        </w:tabs>
        <w:spacing w:line="240" w:lineRule="auto" w:before="200" w:after="0"/>
        <w:ind w:left="743" w:right="117" w:hanging="360"/>
        <w:jc w:val="left"/>
        <w:rPr>
          <w:rFonts w:ascii="Microsoft Sans Serif" w:hAnsi="Microsoft Sans Serif"/>
          <w:b w:val="0"/>
          <w:i w:val="0"/>
          <w:sz w:val="24"/>
        </w:rPr>
      </w:pPr>
      <w:r>
        <w:rPr>
          <w:i w:val="0"/>
        </w:rPr>
        <w:t>Tomasz Pawliszyn, président d’APRA : “</w:t>
      </w:r>
      <w:r>
        <w:rPr/>
        <w:t>Le scénario proposé ne ferait pas qu'amputer les droits</w:t>
      </w:r>
      <w:r>
        <w:rPr>
          <w:spacing w:val="-5"/>
        </w:rPr>
        <w:t> </w:t>
      </w:r>
      <w:r>
        <w:rPr/>
        <w:t>des</w:t>
      </w:r>
      <w:r>
        <w:rPr>
          <w:spacing w:val="-5"/>
        </w:rPr>
        <w:t> </w:t>
      </w:r>
      <w:r>
        <w:rPr/>
        <w:t>passagers.</w:t>
      </w:r>
      <w:r>
        <w:rPr>
          <w:spacing w:val="-5"/>
        </w:rPr>
        <w:t> </w:t>
      </w:r>
      <w:r>
        <w:rPr/>
        <w:t>Il</w:t>
      </w:r>
      <w:r>
        <w:rPr>
          <w:spacing w:val="-5"/>
        </w:rPr>
        <w:t> </w:t>
      </w:r>
      <w:r>
        <w:rPr/>
        <w:t>priverait</w:t>
      </w:r>
      <w:r>
        <w:rPr>
          <w:spacing w:val="-5"/>
        </w:rPr>
        <w:t> </w:t>
      </w:r>
      <w:r>
        <w:rPr/>
        <w:t>de</w:t>
      </w:r>
      <w:r>
        <w:rPr>
          <w:spacing w:val="-5"/>
        </w:rPr>
        <w:t> </w:t>
      </w:r>
      <w:r>
        <w:rPr/>
        <w:t>recours</w:t>
      </w:r>
      <w:r>
        <w:rPr>
          <w:spacing w:val="-5"/>
        </w:rPr>
        <w:t> </w:t>
      </w:r>
      <w:r>
        <w:rPr/>
        <w:t>effectif</w:t>
      </w:r>
      <w:r>
        <w:rPr>
          <w:spacing w:val="-5"/>
        </w:rPr>
        <w:t> </w:t>
      </w:r>
      <w:r>
        <w:rPr/>
        <w:t>ceux</w:t>
      </w:r>
      <w:r>
        <w:rPr>
          <w:spacing w:val="-5"/>
        </w:rPr>
        <w:t> </w:t>
      </w:r>
      <w:r>
        <w:rPr/>
        <w:t>qui</w:t>
      </w:r>
      <w:r>
        <w:rPr>
          <w:spacing w:val="-5"/>
        </w:rPr>
        <w:t> </w:t>
      </w:r>
      <w:r>
        <w:rPr/>
        <w:t>se</w:t>
      </w:r>
      <w:r>
        <w:rPr>
          <w:spacing w:val="-5"/>
        </w:rPr>
        <w:t> </w:t>
      </w:r>
      <w:r>
        <w:rPr/>
        <w:t>retrouvent</w:t>
      </w:r>
      <w:r>
        <w:rPr>
          <w:spacing w:val="-5"/>
        </w:rPr>
        <w:t> </w:t>
      </w:r>
      <w:r>
        <w:rPr/>
        <w:t>bloqués</w:t>
      </w:r>
      <w:r>
        <w:rPr>
          <w:spacing w:val="-5"/>
        </w:rPr>
        <w:t> </w:t>
      </w:r>
      <w:r>
        <w:rPr/>
        <w:t>pendant des heures”</w:t>
      </w:r>
    </w:p>
    <w:p>
      <w:pPr>
        <w:spacing w:before="200"/>
        <w:ind w:left="23" w:right="35" w:firstLine="0"/>
        <w:jc w:val="both"/>
        <w:rPr>
          <w:sz w:val="22"/>
        </w:rPr>
      </w:pPr>
      <w:r>
        <w:rPr>
          <w:b/>
          <w:sz w:val="22"/>
        </w:rPr>
        <w:t>Paris, 20 mars 2026.- </w:t>
      </w:r>
      <w:r>
        <w:rPr>
          <w:sz w:val="22"/>
        </w:rPr>
        <w:t>Ce mercredi 18 mars, les États membres</w:t>
      </w:r>
      <w:r>
        <w:rPr>
          <w:spacing w:val="-5"/>
          <w:sz w:val="22"/>
        </w:rPr>
        <w:t> </w:t>
      </w:r>
      <w:r>
        <w:rPr>
          <w:sz w:val="22"/>
        </w:rPr>
        <w:t>de</w:t>
      </w:r>
      <w:r>
        <w:rPr>
          <w:spacing w:val="-5"/>
          <w:sz w:val="22"/>
        </w:rPr>
        <w:t> </w:t>
      </w:r>
      <w:r>
        <w:rPr>
          <w:sz w:val="22"/>
        </w:rPr>
        <w:t>l'Union</w:t>
      </w:r>
      <w:r>
        <w:rPr>
          <w:spacing w:val="-5"/>
          <w:sz w:val="22"/>
        </w:rPr>
        <w:t> </w:t>
      </w:r>
      <w:r>
        <w:rPr>
          <w:sz w:val="22"/>
        </w:rPr>
        <w:t>européenne</w:t>
      </w:r>
      <w:r>
        <w:rPr>
          <w:spacing w:val="-5"/>
          <w:sz w:val="22"/>
        </w:rPr>
        <w:t> </w:t>
      </w:r>
      <w:r>
        <w:rPr>
          <w:sz w:val="22"/>
        </w:rPr>
        <w:t>ont</w:t>
      </w:r>
      <w:r>
        <w:rPr>
          <w:spacing w:val="-5"/>
          <w:sz w:val="22"/>
        </w:rPr>
        <w:t> </w:t>
      </w:r>
      <w:r>
        <w:rPr>
          <w:sz w:val="22"/>
        </w:rPr>
        <w:t>accordé</w:t>
      </w:r>
      <w:r>
        <w:rPr>
          <w:spacing w:val="-5"/>
          <w:sz w:val="22"/>
        </w:rPr>
        <w:t> </w:t>
      </w:r>
      <w:r>
        <w:rPr>
          <w:sz w:val="22"/>
        </w:rPr>
        <w:t>à la Présidence du Conseil un mandat pour entamer des négociations avec</w:t>
      </w:r>
      <w:r>
        <w:rPr>
          <w:spacing w:val="-5"/>
          <w:sz w:val="22"/>
        </w:rPr>
        <w:t> </w:t>
      </w:r>
      <w:r>
        <w:rPr>
          <w:sz w:val="22"/>
        </w:rPr>
        <w:t>le</w:t>
      </w:r>
      <w:r>
        <w:rPr>
          <w:spacing w:val="-5"/>
          <w:sz w:val="22"/>
        </w:rPr>
        <w:t> </w:t>
      </w:r>
      <w:r>
        <w:rPr>
          <w:sz w:val="22"/>
        </w:rPr>
        <w:t>Parlement</w:t>
      </w:r>
      <w:r>
        <w:rPr>
          <w:spacing w:val="-5"/>
          <w:sz w:val="22"/>
        </w:rPr>
        <w:t> </w:t>
      </w:r>
      <w:r>
        <w:rPr>
          <w:sz w:val="22"/>
        </w:rPr>
        <w:t>européen</w:t>
      </w:r>
      <w:r>
        <w:rPr>
          <w:spacing w:val="-5"/>
          <w:sz w:val="22"/>
        </w:rPr>
        <w:t> </w:t>
      </w:r>
      <w:r>
        <w:rPr>
          <w:sz w:val="22"/>
        </w:rPr>
        <w:t>sur la réforme</w:t>
      </w:r>
      <w:r>
        <w:rPr>
          <w:spacing w:val="-5"/>
          <w:sz w:val="22"/>
        </w:rPr>
        <w:t> </w:t>
      </w:r>
      <w:r>
        <w:rPr>
          <w:sz w:val="22"/>
        </w:rPr>
        <w:t>du</w:t>
      </w:r>
      <w:r>
        <w:rPr>
          <w:spacing w:val="-5"/>
          <w:sz w:val="22"/>
        </w:rPr>
        <w:t> </w:t>
      </w:r>
      <w:r>
        <w:rPr>
          <w:sz w:val="22"/>
        </w:rPr>
        <w:t>règlement</w:t>
      </w:r>
      <w:r>
        <w:rPr>
          <w:spacing w:val="-5"/>
          <w:sz w:val="22"/>
        </w:rPr>
        <w:t> </w:t>
      </w:r>
      <w:r>
        <w:rPr>
          <w:sz w:val="22"/>
        </w:rPr>
        <w:t>CE</w:t>
      </w:r>
      <w:r>
        <w:rPr>
          <w:spacing w:val="-5"/>
          <w:sz w:val="22"/>
        </w:rPr>
        <w:t> </w:t>
      </w:r>
      <w:r>
        <w:rPr>
          <w:sz w:val="22"/>
        </w:rPr>
        <w:t>261,</w:t>
      </w:r>
      <w:r>
        <w:rPr>
          <w:spacing w:val="-5"/>
          <w:sz w:val="22"/>
        </w:rPr>
        <w:t> </w:t>
      </w:r>
      <w:r>
        <w:rPr>
          <w:sz w:val="22"/>
        </w:rPr>
        <w:t>qui</w:t>
      </w:r>
      <w:r>
        <w:rPr>
          <w:spacing w:val="-5"/>
          <w:sz w:val="22"/>
        </w:rPr>
        <w:t> </w:t>
      </w:r>
      <w:r>
        <w:rPr>
          <w:sz w:val="22"/>
        </w:rPr>
        <w:t>encadre</w:t>
      </w:r>
      <w:r>
        <w:rPr>
          <w:spacing w:val="-5"/>
          <w:sz w:val="22"/>
        </w:rPr>
        <w:t> </w:t>
      </w:r>
      <w:r>
        <w:rPr>
          <w:sz w:val="22"/>
        </w:rPr>
        <w:t>depuis</w:t>
      </w:r>
      <w:r>
        <w:rPr>
          <w:spacing w:val="-5"/>
          <w:sz w:val="22"/>
        </w:rPr>
        <w:t> </w:t>
      </w:r>
      <w:r>
        <w:rPr>
          <w:sz w:val="22"/>
        </w:rPr>
        <w:t>plus</w:t>
      </w:r>
      <w:r>
        <w:rPr>
          <w:spacing w:val="-5"/>
          <w:sz w:val="22"/>
        </w:rPr>
        <w:t> </w:t>
      </w:r>
      <w:r>
        <w:rPr>
          <w:sz w:val="22"/>
        </w:rPr>
        <w:t>de</w:t>
      </w:r>
      <w:r>
        <w:rPr>
          <w:spacing w:val="-5"/>
          <w:sz w:val="22"/>
        </w:rPr>
        <w:t> </w:t>
      </w:r>
      <w:r>
        <w:rPr>
          <w:sz w:val="22"/>
        </w:rPr>
        <w:t>vingt</w:t>
      </w:r>
      <w:r>
        <w:rPr>
          <w:spacing w:val="-5"/>
          <w:sz w:val="22"/>
        </w:rPr>
        <w:t> </w:t>
      </w:r>
      <w:r>
        <w:rPr>
          <w:sz w:val="22"/>
        </w:rPr>
        <w:t>ans</w:t>
      </w:r>
      <w:r>
        <w:rPr>
          <w:spacing w:val="-5"/>
          <w:sz w:val="22"/>
        </w:rPr>
        <w:t> </w:t>
      </w:r>
      <w:r>
        <w:rPr>
          <w:sz w:val="22"/>
        </w:rPr>
        <w:t>les</w:t>
      </w:r>
      <w:r>
        <w:rPr>
          <w:spacing w:val="-5"/>
          <w:sz w:val="22"/>
        </w:rPr>
        <w:t> </w:t>
      </w:r>
      <w:r>
        <w:rPr>
          <w:sz w:val="22"/>
        </w:rPr>
        <w:t>droits</w:t>
      </w:r>
      <w:r>
        <w:rPr>
          <w:spacing w:val="-5"/>
          <w:sz w:val="22"/>
        </w:rPr>
        <w:t> </w:t>
      </w:r>
      <w:r>
        <w:rPr>
          <w:sz w:val="22"/>
        </w:rPr>
        <w:t>des</w:t>
      </w:r>
      <w:r>
        <w:rPr>
          <w:spacing w:val="-5"/>
          <w:sz w:val="22"/>
        </w:rPr>
        <w:t> </w:t>
      </w:r>
      <w:r>
        <w:rPr>
          <w:sz w:val="22"/>
        </w:rPr>
        <w:t>passagers</w:t>
      </w:r>
      <w:r>
        <w:rPr>
          <w:spacing w:val="-5"/>
          <w:sz w:val="22"/>
        </w:rPr>
        <w:t> </w:t>
      </w:r>
      <w:r>
        <w:rPr>
          <w:sz w:val="22"/>
        </w:rPr>
        <w:t>aériens en Europe. La proposition sur la table est de </w:t>
      </w:r>
      <w:r>
        <w:rPr>
          <w:b/>
          <w:sz w:val="22"/>
        </w:rPr>
        <w:t>relever le seuil d'indemnisation de 3 à 4 heures de retard et de plafonner les indemnités à 300 </w:t>
      </w:r>
      <w:r>
        <w:rPr>
          <w:rFonts w:ascii="Arial" w:hAnsi="Arial"/>
          <w:b/>
          <w:sz w:val="22"/>
        </w:rPr>
        <w:t>€</w:t>
      </w:r>
      <w:r>
        <w:rPr>
          <w:b/>
          <w:sz w:val="22"/>
        </w:rPr>
        <w:t>, contre 600 </w:t>
      </w:r>
      <w:r>
        <w:rPr>
          <w:rFonts w:ascii="Arial" w:hAnsi="Arial"/>
          <w:b/>
          <w:sz w:val="22"/>
        </w:rPr>
        <w:t>€ </w:t>
      </w:r>
      <w:r>
        <w:rPr>
          <w:b/>
          <w:sz w:val="22"/>
        </w:rPr>
        <w:t>actuellement, quelle que soit la distance du</w:t>
      </w:r>
      <w:r>
        <w:rPr>
          <w:b/>
          <w:spacing w:val="-6"/>
          <w:sz w:val="22"/>
        </w:rPr>
        <w:t> </w:t>
      </w:r>
      <w:r>
        <w:rPr>
          <w:b/>
          <w:sz w:val="22"/>
        </w:rPr>
        <w:t>vol.</w:t>
      </w:r>
      <w:r>
        <w:rPr>
          <w:b/>
          <w:spacing w:val="-7"/>
          <w:sz w:val="22"/>
        </w:rPr>
        <w:t> </w:t>
      </w:r>
      <w:hyperlink r:id="rId6">
        <w:r>
          <w:rPr>
            <w:color w:val="000080"/>
            <w:sz w:val="22"/>
            <w:u w:val="thick" w:color="000080"/>
          </w:rPr>
          <w:t>APRA</w:t>
        </w:r>
      </w:hyperlink>
      <w:r>
        <w:rPr>
          <w:sz w:val="22"/>
        </w:rPr>
        <w:t>,</w:t>
      </w:r>
      <w:r>
        <w:rPr>
          <w:spacing w:val="-6"/>
          <w:sz w:val="22"/>
        </w:rPr>
        <w:t> </w:t>
      </w:r>
      <w:r>
        <w:rPr>
          <w:sz w:val="22"/>
        </w:rPr>
        <w:t>Association</w:t>
      </w:r>
      <w:r>
        <w:rPr>
          <w:spacing w:val="-7"/>
          <w:sz w:val="22"/>
        </w:rPr>
        <w:t> </w:t>
      </w:r>
      <w:r>
        <w:rPr>
          <w:sz w:val="22"/>
        </w:rPr>
        <w:t>des</w:t>
      </w:r>
      <w:r>
        <w:rPr>
          <w:spacing w:val="-6"/>
          <w:sz w:val="22"/>
        </w:rPr>
        <w:t> </w:t>
      </w:r>
      <w:r>
        <w:rPr>
          <w:sz w:val="22"/>
        </w:rPr>
        <w:t>Défenseurs</w:t>
      </w:r>
      <w:r>
        <w:rPr>
          <w:spacing w:val="-7"/>
          <w:sz w:val="22"/>
        </w:rPr>
        <w:t> </w:t>
      </w:r>
      <w:r>
        <w:rPr>
          <w:sz w:val="22"/>
        </w:rPr>
        <w:t>des</w:t>
      </w:r>
      <w:r>
        <w:rPr>
          <w:spacing w:val="-6"/>
          <w:sz w:val="22"/>
        </w:rPr>
        <w:t> </w:t>
      </w:r>
      <w:r>
        <w:rPr>
          <w:sz w:val="22"/>
        </w:rPr>
        <w:t>Droits</w:t>
      </w:r>
      <w:r>
        <w:rPr>
          <w:spacing w:val="-7"/>
          <w:sz w:val="22"/>
        </w:rPr>
        <w:t> </w:t>
      </w:r>
      <w:r>
        <w:rPr>
          <w:sz w:val="22"/>
        </w:rPr>
        <w:t>des</w:t>
      </w:r>
      <w:r>
        <w:rPr>
          <w:spacing w:val="-6"/>
          <w:sz w:val="22"/>
        </w:rPr>
        <w:t> </w:t>
      </w:r>
      <w:r>
        <w:rPr>
          <w:sz w:val="22"/>
        </w:rPr>
        <w:t>Passagers,</w:t>
      </w:r>
      <w:r>
        <w:rPr>
          <w:spacing w:val="-7"/>
          <w:sz w:val="22"/>
        </w:rPr>
        <w:t> </w:t>
      </w:r>
      <w:r>
        <w:rPr>
          <w:sz w:val="22"/>
        </w:rPr>
        <w:t>tire</w:t>
      </w:r>
      <w:r>
        <w:rPr>
          <w:spacing w:val="-6"/>
          <w:sz w:val="22"/>
        </w:rPr>
        <w:t> </w:t>
      </w:r>
      <w:r>
        <w:rPr>
          <w:sz w:val="22"/>
        </w:rPr>
        <w:t>la</w:t>
      </w:r>
      <w:r>
        <w:rPr>
          <w:spacing w:val="-7"/>
          <w:sz w:val="22"/>
        </w:rPr>
        <w:t> </w:t>
      </w:r>
      <w:r>
        <w:rPr>
          <w:sz w:val="22"/>
        </w:rPr>
        <w:t>sonnette</w:t>
      </w:r>
      <w:r>
        <w:rPr>
          <w:spacing w:val="-6"/>
          <w:sz w:val="22"/>
        </w:rPr>
        <w:t> </w:t>
      </w:r>
      <w:r>
        <w:rPr>
          <w:sz w:val="22"/>
        </w:rPr>
        <w:t>d'alarme</w:t>
      </w:r>
    </w:p>
    <w:p>
      <w:pPr>
        <w:pStyle w:val="Heading1"/>
        <w:spacing w:before="0"/>
        <w:ind w:right="41"/>
      </w:pPr>
      <w:r>
        <w:rPr>
          <w:b w:val="0"/>
        </w:rPr>
        <w:t>: </w:t>
      </w:r>
      <w:r>
        <w:rPr/>
        <w:t>ces mesures reviendraient à réduire de moitié les droits des voyageurs européens, en faisant passer le taux de vols éligibles de 0,43 % à seulement 0,2 %.</w:t>
      </w:r>
    </w:p>
    <w:p>
      <w:pPr>
        <w:pStyle w:val="BodyText"/>
        <w:spacing w:before="240"/>
        <w:ind w:left="23" w:right="36"/>
        <w:jc w:val="both"/>
        <w:rPr>
          <w:i w:val="0"/>
        </w:rPr>
      </w:pPr>
      <w:r>
        <w:rPr/>
        <w:t>« Pendant plus de vingt ans, le règlement CE 261 a établi</w:t>
      </w:r>
      <w:r>
        <w:rPr>
          <w:spacing w:val="-3"/>
        </w:rPr>
        <w:t> </w:t>
      </w:r>
      <w:r>
        <w:rPr/>
        <w:t>la</w:t>
      </w:r>
      <w:r>
        <w:rPr>
          <w:spacing w:val="-3"/>
        </w:rPr>
        <w:t> </w:t>
      </w:r>
      <w:r>
        <w:rPr/>
        <w:t>référence</w:t>
      </w:r>
      <w:r>
        <w:rPr>
          <w:spacing w:val="-3"/>
        </w:rPr>
        <w:t> </w:t>
      </w:r>
      <w:r>
        <w:rPr/>
        <w:t>mondiale</w:t>
      </w:r>
      <w:r>
        <w:rPr>
          <w:spacing w:val="-3"/>
        </w:rPr>
        <w:t> </w:t>
      </w:r>
      <w:r>
        <w:rPr/>
        <w:t>en</w:t>
      </w:r>
      <w:r>
        <w:rPr>
          <w:spacing w:val="-3"/>
        </w:rPr>
        <w:t> </w:t>
      </w:r>
      <w:r>
        <w:rPr/>
        <w:t>matière</w:t>
      </w:r>
      <w:r>
        <w:rPr>
          <w:spacing w:val="-3"/>
        </w:rPr>
        <w:t> </w:t>
      </w:r>
      <w:r>
        <w:rPr/>
        <w:t>de</w:t>
      </w:r>
      <w:r>
        <w:rPr>
          <w:spacing w:val="-3"/>
        </w:rPr>
        <w:t> </w:t>
      </w:r>
      <w:r>
        <w:rPr/>
        <w:t>droits des passagers. D'autres régions s'en inspirent pour façonner leurs propres réglementations. Le scénario proposé ne ferait pas qu'amputer les droits des passagers : il priverait de recours effectif ceux qui se retrouvent bloqués pendant des heures, tout en menaçant les compagnies régionales</w:t>
      </w:r>
      <w:r>
        <w:rPr>
          <w:spacing w:val="40"/>
        </w:rPr>
        <w:t> </w:t>
      </w:r>
      <w:r>
        <w:rPr/>
        <w:t>pour lesquelles EC261 constitue un levier essentiel pour maintenir</w:t>
      </w:r>
      <w:r>
        <w:rPr>
          <w:spacing w:val="-4"/>
        </w:rPr>
        <w:t> </w:t>
      </w:r>
      <w:r>
        <w:rPr/>
        <w:t>la</w:t>
      </w:r>
      <w:r>
        <w:rPr>
          <w:spacing w:val="-4"/>
        </w:rPr>
        <w:t> </w:t>
      </w:r>
      <w:r>
        <w:rPr/>
        <w:t>qualité</w:t>
      </w:r>
      <w:r>
        <w:rPr>
          <w:spacing w:val="-4"/>
        </w:rPr>
        <w:t> </w:t>
      </w:r>
      <w:r>
        <w:rPr/>
        <w:t>de</w:t>
      </w:r>
      <w:r>
        <w:rPr>
          <w:spacing w:val="-4"/>
        </w:rPr>
        <w:t> </w:t>
      </w:r>
      <w:r>
        <w:rPr/>
        <w:t>service</w:t>
      </w:r>
      <w:r>
        <w:rPr>
          <w:spacing w:val="-4"/>
        </w:rPr>
        <w:t> </w:t>
      </w:r>
      <w:r>
        <w:rPr/>
        <w:t>sur</w:t>
      </w:r>
      <w:r>
        <w:rPr>
          <w:spacing w:val="-4"/>
        </w:rPr>
        <w:t> </w:t>
      </w:r>
      <w:r>
        <w:rPr/>
        <w:t>des</w:t>
      </w:r>
      <w:r>
        <w:rPr>
          <w:spacing w:val="-4"/>
        </w:rPr>
        <w:t> </w:t>
      </w:r>
      <w:r>
        <w:rPr/>
        <w:t>routes moins compétitives »</w:t>
      </w:r>
      <w:r>
        <w:rPr>
          <w:i w:val="0"/>
        </w:rPr>
        <w:t>, déclare Tomasz Pawliszyn, président de l'APRA.</w:t>
      </w:r>
    </w:p>
    <w:p>
      <w:pPr>
        <w:pStyle w:val="Heading1"/>
      </w:pPr>
      <w:r>
        <w:rPr/>
        <w:t>Les</w:t>
      </w:r>
      <w:r>
        <w:rPr>
          <w:spacing w:val="-8"/>
        </w:rPr>
        <w:t> </w:t>
      </w:r>
      <w:r>
        <w:rPr/>
        <w:t>données</w:t>
      </w:r>
      <w:r>
        <w:rPr>
          <w:spacing w:val="-6"/>
        </w:rPr>
        <w:t> </w:t>
      </w:r>
      <w:r>
        <w:rPr/>
        <w:t>sont</w:t>
      </w:r>
      <w:r>
        <w:rPr>
          <w:spacing w:val="-5"/>
        </w:rPr>
        <w:t> </w:t>
      </w:r>
      <w:r>
        <w:rPr/>
        <w:t>claires</w:t>
      </w:r>
      <w:r>
        <w:rPr>
          <w:spacing w:val="-6"/>
        </w:rPr>
        <w:t> </w:t>
      </w:r>
      <w:r>
        <w:rPr/>
        <w:t>:</w:t>
      </w:r>
      <w:r>
        <w:rPr>
          <w:spacing w:val="-6"/>
        </w:rPr>
        <w:t> </w:t>
      </w:r>
      <w:r>
        <w:rPr/>
        <w:t>CE</w:t>
      </w:r>
      <w:r>
        <w:rPr>
          <w:spacing w:val="-5"/>
        </w:rPr>
        <w:t> </w:t>
      </w:r>
      <w:r>
        <w:rPr/>
        <w:t>261</w:t>
      </w:r>
      <w:r>
        <w:rPr>
          <w:spacing w:val="-6"/>
        </w:rPr>
        <w:t> </w:t>
      </w:r>
      <w:r>
        <w:rPr/>
        <w:t>améliore</w:t>
      </w:r>
      <w:r>
        <w:rPr>
          <w:spacing w:val="-6"/>
        </w:rPr>
        <w:t> </w:t>
      </w:r>
      <w:r>
        <w:rPr/>
        <w:t>les</w:t>
      </w:r>
      <w:r>
        <w:rPr>
          <w:spacing w:val="-5"/>
        </w:rPr>
        <w:t> </w:t>
      </w:r>
      <w:r>
        <w:rPr/>
        <w:t>performances</w:t>
      </w:r>
      <w:r>
        <w:rPr>
          <w:spacing w:val="-6"/>
        </w:rPr>
        <w:t> </w:t>
      </w:r>
      <w:r>
        <w:rPr/>
        <w:t>des</w:t>
      </w:r>
      <w:r>
        <w:rPr>
          <w:spacing w:val="-5"/>
        </w:rPr>
        <w:t> </w:t>
      </w:r>
      <w:r>
        <w:rPr>
          <w:spacing w:val="-2"/>
        </w:rPr>
        <w:t>compagnies</w:t>
      </w:r>
    </w:p>
    <w:p>
      <w:pPr>
        <w:spacing w:line="276" w:lineRule="auto" w:before="240"/>
        <w:ind w:left="23" w:right="38" w:firstLine="0"/>
        <w:jc w:val="both"/>
        <w:rPr>
          <w:b/>
          <w:sz w:val="22"/>
        </w:rPr>
      </w:pPr>
      <w:r>
        <w:rPr>
          <w:sz w:val="22"/>
        </w:rPr>
        <w:t>Loin d'être un fardeau pour le secteur, CE 261 s'est révélé être un puissant levier d'amélioration. Selon une étude économique indépendante présentée lors d'une table ronde à Bruxelles organisée par l'APRA et Euroconsumers en début de mois, </w:t>
      </w:r>
      <w:r>
        <w:rPr>
          <w:b/>
          <w:sz w:val="22"/>
        </w:rPr>
        <w:t>le règlement permet d'éviter chaque année l'équivalent de 8 400 ans de retard à l'échelle du système aérien européen.</w:t>
      </w:r>
    </w:p>
    <w:p>
      <w:pPr>
        <w:pStyle w:val="BodyText"/>
        <w:spacing w:line="276" w:lineRule="auto" w:before="140"/>
        <w:ind w:left="23" w:right="36"/>
        <w:jc w:val="both"/>
      </w:pPr>
      <w:r>
        <w:rPr/>
        <w:t>« Comme le montre notre étude évaluée par des pairs, lorsque l'on agrège l'effet à l'échelle du système aérien européen, en comparant les vols couverts par le règlement CE 261 et ceux qui ne le sont pas sur les mêmes routes, on aboutit à ces 8 400 années de retard économisées chaque</w:t>
      </w:r>
      <w:r>
        <w:rPr>
          <w:spacing w:val="-3"/>
        </w:rPr>
        <w:t> </w:t>
      </w:r>
      <w:r>
        <w:rPr/>
        <w:t>année grâce au CE 261. C'est là l'ampleur de l'impact lorsque les compagnies aériennes répondent aux incitations créées par</w:t>
      </w:r>
      <w:r>
        <w:rPr>
          <w:spacing w:val="-5"/>
        </w:rPr>
        <w:t> </w:t>
      </w:r>
      <w:r>
        <w:rPr/>
        <w:t>le</w:t>
      </w:r>
      <w:r>
        <w:rPr>
          <w:spacing w:val="-5"/>
        </w:rPr>
        <w:t> </w:t>
      </w:r>
      <w:r>
        <w:rPr/>
        <w:t>règlement</w:t>
      </w:r>
      <w:r>
        <w:rPr>
          <w:spacing w:val="-5"/>
        </w:rPr>
        <w:t> </w:t>
      </w:r>
      <w:r>
        <w:rPr/>
        <w:t>»,</w:t>
      </w:r>
      <w:r>
        <w:rPr>
          <w:spacing w:val="40"/>
        </w:rPr>
        <w:t> </w:t>
      </w:r>
      <w:r>
        <w:rPr>
          <w:i w:val="0"/>
        </w:rPr>
        <w:t>explique</w:t>
      </w:r>
      <w:r>
        <w:rPr>
          <w:i w:val="0"/>
          <w:spacing w:val="-5"/>
        </w:rPr>
        <w:t> </w:t>
      </w:r>
      <w:r>
        <w:rPr>
          <w:i w:val="0"/>
        </w:rPr>
        <w:t>le</w:t>
      </w:r>
      <w:r>
        <w:rPr>
          <w:i w:val="0"/>
          <w:spacing w:val="-5"/>
        </w:rPr>
        <w:t> </w:t>
      </w:r>
      <w:r>
        <w:rPr>
          <w:i w:val="0"/>
        </w:rPr>
        <w:t>Dr</w:t>
      </w:r>
      <w:r>
        <w:rPr>
          <w:i w:val="0"/>
          <w:spacing w:val="-5"/>
        </w:rPr>
        <w:t> </w:t>
      </w:r>
      <w:r>
        <w:rPr>
          <w:i w:val="0"/>
        </w:rPr>
        <w:t>Hinnerk</w:t>
      </w:r>
      <w:r>
        <w:rPr>
          <w:i w:val="0"/>
          <w:spacing w:val="-5"/>
        </w:rPr>
        <w:t> </w:t>
      </w:r>
      <w:r>
        <w:rPr>
          <w:i w:val="0"/>
        </w:rPr>
        <w:t>Gnutzmann,</w:t>
      </w:r>
      <w:r>
        <w:rPr>
          <w:i w:val="0"/>
          <w:spacing w:val="-5"/>
        </w:rPr>
        <w:t> </w:t>
      </w:r>
      <w:r>
        <w:rPr>
          <w:i w:val="0"/>
        </w:rPr>
        <w:t>économiste</w:t>
      </w:r>
      <w:r>
        <w:rPr>
          <w:i w:val="0"/>
          <w:spacing w:val="-5"/>
        </w:rPr>
        <w:t> </w:t>
      </w:r>
      <w:r>
        <w:rPr>
          <w:i w:val="0"/>
        </w:rPr>
        <w:t>indépendant.</w:t>
      </w:r>
      <w:r>
        <w:rPr>
          <w:i w:val="0"/>
          <w:spacing w:val="-5"/>
        </w:rPr>
        <w:t> </w:t>
      </w:r>
      <w:r>
        <w:rPr>
          <w:i w:val="0"/>
        </w:rPr>
        <w:t>Il ajoute : </w:t>
      </w:r>
      <w:r>
        <w:rPr/>
        <w:t>« Le risque que votre vol accumule un retard de trois heures ou plus est</w:t>
      </w:r>
      <w:r>
        <w:rPr>
          <w:spacing w:val="-3"/>
        </w:rPr>
        <w:t> </w:t>
      </w:r>
      <w:r>
        <w:rPr/>
        <w:t>deux</w:t>
      </w:r>
      <w:r>
        <w:rPr>
          <w:spacing w:val="-3"/>
        </w:rPr>
        <w:t> </w:t>
      </w:r>
      <w:r>
        <w:rPr/>
        <w:t>fois</w:t>
      </w:r>
      <w:r>
        <w:rPr>
          <w:spacing w:val="-3"/>
        </w:rPr>
        <w:t> </w:t>
      </w:r>
      <w:r>
        <w:rPr/>
        <w:t>plus</w:t>
      </w:r>
      <w:r>
        <w:rPr>
          <w:spacing w:val="-3"/>
        </w:rPr>
        <w:t> </w:t>
      </w:r>
      <w:r>
        <w:rPr/>
        <w:t>élevé (en</w:t>
      </w:r>
      <w:r>
        <w:rPr>
          <w:spacing w:val="27"/>
        </w:rPr>
        <w:t> </w:t>
      </w:r>
      <w:r>
        <w:rPr/>
        <w:t>réalité</w:t>
      </w:r>
      <w:r>
        <w:rPr>
          <w:spacing w:val="27"/>
        </w:rPr>
        <w:t> </w:t>
      </w:r>
      <w:r>
        <w:rPr/>
        <w:t>deux</w:t>
      </w:r>
      <w:r>
        <w:rPr>
          <w:spacing w:val="27"/>
        </w:rPr>
        <w:t> </w:t>
      </w:r>
      <w:r>
        <w:rPr/>
        <w:t>tiers</w:t>
      </w:r>
      <w:r>
        <w:rPr>
          <w:spacing w:val="27"/>
        </w:rPr>
        <w:t> </w:t>
      </w:r>
      <w:r>
        <w:rPr/>
        <w:t>de</w:t>
      </w:r>
      <w:r>
        <w:rPr>
          <w:spacing w:val="27"/>
        </w:rPr>
        <w:t> </w:t>
      </w:r>
      <w:r>
        <w:rPr/>
        <w:t>plus)</w:t>
      </w:r>
      <w:r>
        <w:rPr>
          <w:spacing w:val="12"/>
        </w:rPr>
        <w:t> </w:t>
      </w:r>
      <w:r>
        <w:rPr/>
        <w:t>sur</w:t>
      </w:r>
      <w:r>
        <w:rPr>
          <w:spacing w:val="12"/>
        </w:rPr>
        <w:t> </w:t>
      </w:r>
      <w:r>
        <w:rPr/>
        <w:t>les</w:t>
      </w:r>
      <w:r>
        <w:rPr>
          <w:spacing w:val="12"/>
        </w:rPr>
        <w:t> </w:t>
      </w:r>
      <w:r>
        <w:rPr/>
        <w:t>vols</w:t>
      </w:r>
      <w:r>
        <w:rPr>
          <w:spacing w:val="12"/>
        </w:rPr>
        <w:t> </w:t>
      </w:r>
      <w:r>
        <w:rPr/>
        <w:t>non</w:t>
      </w:r>
      <w:r>
        <w:rPr>
          <w:spacing w:val="12"/>
        </w:rPr>
        <w:t> </w:t>
      </w:r>
      <w:r>
        <w:rPr/>
        <w:t>couverts</w:t>
      </w:r>
      <w:r>
        <w:rPr>
          <w:spacing w:val="12"/>
        </w:rPr>
        <w:t> </w:t>
      </w:r>
      <w:r>
        <w:rPr/>
        <w:t>par</w:t>
      </w:r>
      <w:r>
        <w:rPr>
          <w:spacing w:val="12"/>
        </w:rPr>
        <w:t> </w:t>
      </w:r>
      <w:r>
        <w:rPr/>
        <w:t>le</w:t>
      </w:r>
      <w:r>
        <w:rPr>
          <w:spacing w:val="12"/>
        </w:rPr>
        <w:t> </w:t>
      </w:r>
      <w:r>
        <w:rPr/>
        <w:t>CE261</w:t>
      </w:r>
      <w:r>
        <w:rPr>
          <w:spacing w:val="12"/>
        </w:rPr>
        <w:t> </w:t>
      </w:r>
      <w:r>
        <w:rPr/>
        <w:t>par</w:t>
      </w:r>
      <w:r>
        <w:rPr>
          <w:spacing w:val="12"/>
        </w:rPr>
        <w:t> </w:t>
      </w:r>
      <w:r>
        <w:rPr/>
        <w:t>rapport</w:t>
      </w:r>
      <w:r>
        <w:rPr>
          <w:spacing w:val="12"/>
        </w:rPr>
        <w:t> </w:t>
      </w:r>
      <w:r>
        <w:rPr/>
        <w:t>à</w:t>
      </w:r>
      <w:r>
        <w:rPr>
          <w:spacing w:val="12"/>
        </w:rPr>
        <w:t> </w:t>
      </w:r>
      <w:r>
        <w:rPr/>
        <w:t>ceux</w:t>
      </w:r>
      <w:r>
        <w:rPr>
          <w:spacing w:val="12"/>
        </w:rPr>
        <w:t> </w:t>
      </w:r>
      <w:r>
        <w:rPr/>
        <w:t>qui</w:t>
      </w:r>
      <w:r>
        <w:rPr>
          <w:spacing w:val="12"/>
        </w:rPr>
        <w:t> </w:t>
      </w:r>
      <w:r>
        <w:rPr/>
        <w:t>le</w:t>
      </w:r>
      <w:r>
        <w:rPr>
          <w:spacing w:val="12"/>
        </w:rPr>
        <w:t> </w:t>
      </w:r>
      <w:r>
        <w:rPr/>
        <w:t>sont.</w:t>
      </w:r>
    </w:p>
    <w:p>
      <w:pPr>
        <w:pStyle w:val="BodyText"/>
        <w:spacing w:after="0" w:line="276" w:lineRule="auto"/>
        <w:jc w:val="both"/>
        <w:sectPr>
          <w:headerReference w:type="default" r:id="rId5"/>
          <w:type w:val="continuous"/>
          <w:pgSz w:w="11920" w:h="16840"/>
          <w:pgMar w:header="180" w:footer="0" w:top="2000" w:bottom="280" w:left="1417" w:right="1417"/>
          <w:pgNumType w:start="1"/>
        </w:sectPr>
      </w:pPr>
    </w:p>
    <w:p>
      <w:pPr>
        <w:pStyle w:val="BodyText"/>
        <w:spacing w:line="276" w:lineRule="auto" w:before="114"/>
        <w:ind w:left="23" w:right="39"/>
        <w:jc w:val="both"/>
      </w:pPr>
      <w:r>
        <w:rPr/>
        <w:t>Cela nous indique que le règlement ne se contente pas d'indemniser les passagers : il modifie le comportement des compagnies aériennes. »</w:t>
      </w:r>
    </w:p>
    <w:p>
      <w:pPr>
        <w:spacing w:line="276" w:lineRule="auto" w:before="140"/>
        <w:ind w:left="23" w:right="40" w:firstLine="0"/>
        <w:jc w:val="both"/>
        <w:rPr>
          <w:sz w:val="22"/>
        </w:rPr>
      </w:pPr>
      <w:r>
        <w:rPr>
          <w:b/>
          <w:sz w:val="22"/>
        </w:rPr>
        <w:t>Selon cette étude, le coût réel pour le secteur reste très modeste : environ 1,50 </w:t>
      </w:r>
      <w:r>
        <w:rPr>
          <w:rFonts w:ascii="Arial" w:hAnsi="Arial"/>
          <w:b/>
          <w:sz w:val="22"/>
        </w:rPr>
        <w:t>€</w:t>
      </w:r>
      <w:r>
        <w:rPr>
          <w:rFonts w:ascii="Arial" w:hAnsi="Arial"/>
          <w:b/>
          <w:spacing w:val="-2"/>
          <w:sz w:val="22"/>
        </w:rPr>
        <w:t> </w:t>
      </w:r>
      <w:r>
        <w:rPr>
          <w:b/>
          <w:sz w:val="22"/>
        </w:rPr>
        <w:t>par passager, </w:t>
      </w:r>
      <w:r>
        <w:rPr>
          <w:sz w:val="22"/>
        </w:rPr>
        <w:t>tous postes confondus. En comparaison, l'Europe enregistre un taux d'annulations de vols le jour même inférieur de 20 % à celui des États-Unis, où aucun régime d'indemnisation équivalent n'existe.</w:t>
      </w:r>
    </w:p>
    <w:p>
      <w:pPr>
        <w:spacing w:line="240" w:lineRule="auto" w:before="40"/>
        <w:rPr>
          <w:sz w:val="22"/>
        </w:rPr>
      </w:pPr>
    </w:p>
    <w:p>
      <w:pPr>
        <w:pStyle w:val="BodyText"/>
        <w:spacing w:line="276" w:lineRule="auto"/>
        <w:ind w:left="23" w:right="44"/>
        <w:jc w:val="both"/>
      </w:pPr>
      <w:r>
        <w:rPr/>
        <w:t>« Relever le seuil de retard ne permet pas aux compagnies aériennes d'économiser de l'argent.</w:t>
      </w:r>
      <w:r>
        <w:rPr>
          <w:spacing w:val="-4"/>
        </w:rPr>
        <w:t> </w:t>
      </w:r>
      <w:r>
        <w:rPr/>
        <w:t>Cela les encourage à retarder davantage », </w:t>
      </w:r>
      <w:r>
        <w:rPr>
          <w:i w:val="0"/>
        </w:rPr>
        <w:t>déclare Pawliszyn. </w:t>
      </w:r>
      <w:r>
        <w:rPr/>
        <w:t>« La seule façon pour les compagnies aériennes de voir leurs coûts augmenter dans le cadre des règles actuelles serait qu'elles retardent délibérément davantage de vols, et des seuils de retard plus élevés leur en donneraient toutes les motivations. »</w:t>
      </w:r>
    </w:p>
    <w:p>
      <w:pPr>
        <w:spacing w:line="240" w:lineRule="auto" w:before="91"/>
        <w:rPr>
          <w:i/>
          <w:sz w:val="22"/>
        </w:rPr>
      </w:pPr>
    </w:p>
    <w:p>
      <w:pPr>
        <w:pStyle w:val="Heading1"/>
        <w:spacing w:before="1"/>
      </w:pPr>
      <w:bookmarkStart w:name="Affaiblir le CE 261 : récompenser les re" w:id="1"/>
      <w:bookmarkEnd w:id="1"/>
      <w:r>
        <w:rPr>
          <w:b w:val="0"/>
        </w:rPr>
      </w:r>
      <w:r>
        <w:rPr/>
        <w:t>Affaiblir</w:t>
      </w:r>
      <w:r>
        <w:rPr>
          <w:spacing w:val="-6"/>
        </w:rPr>
        <w:t> </w:t>
      </w:r>
      <w:r>
        <w:rPr/>
        <w:t>le</w:t>
      </w:r>
      <w:r>
        <w:rPr>
          <w:spacing w:val="-6"/>
        </w:rPr>
        <w:t> </w:t>
      </w:r>
      <w:r>
        <w:rPr/>
        <w:t>CE</w:t>
      </w:r>
      <w:r>
        <w:rPr>
          <w:spacing w:val="-6"/>
        </w:rPr>
        <w:t> </w:t>
      </w:r>
      <w:r>
        <w:rPr/>
        <w:t>261</w:t>
      </w:r>
      <w:r>
        <w:rPr>
          <w:spacing w:val="-6"/>
        </w:rPr>
        <w:t> </w:t>
      </w:r>
      <w:r>
        <w:rPr/>
        <w:t>:</w:t>
      </w:r>
      <w:r>
        <w:rPr>
          <w:spacing w:val="-6"/>
        </w:rPr>
        <w:t> </w:t>
      </w:r>
      <w:r>
        <w:rPr/>
        <w:t>récompenser</w:t>
      </w:r>
      <w:r>
        <w:rPr>
          <w:spacing w:val="-6"/>
        </w:rPr>
        <w:t> </w:t>
      </w:r>
      <w:r>
        <w:rPr/>
        <w:t>les</w:t>
      </w:r>
      <w:r>
        <w:rPr>
          <w:spacing w:val="-6"/>
        </w:rPr>
        <w:t> </w:t>
      </w:r>
      <w:r>
        <w:rPr/>
        <w:t>retards,</w:t>
      </w:r>
      <w:r>
        <w:rPr>
          <w:spacing w:val="-6"/>
        </w:rPr>
        <w:t> </w:t>
      </w:r>
      <w:r>
        <w:rPr/>
        <w:t>punir</w:t>
      </w:r>
      <w:r>
        <w:rPr>
          <w:spacing w:val="-6"/>
        </w:rPr>
        <w:t> </w:t>
      </w:r>
      <w:r>
        <w:rPr/>
        <w:t>les</w:t>
      </w:r>
      <w:r>
        <w:rPr>
          <w:spacing w:val="-6"/>
        </w:rPr>
        <w:t> </w:t>
      </w:r>
      <w:r>
        <w:rPr>
          <w:spacing w:val="-2"/>
        </w:rPr>
        <w:t>voyageur</w:t>
      </w:r>
    </w:p>
    <w:p>
      <w:pPr>
        <w:spacing w:before="240"/>
        <w:ind w:left="23" w:right="37" w:firstLine="0"/>
        <w:jc w:val="both"/>
        <w:rPr>
          <w:b/>
          <w:sz w:val="22"/>
        </w:rPr>
      </w:pPr>
      <w:r>
        <w:rPr>
          <w:sz w:val="22"/>
        </w:rPr>
        <w:t>La proposition du Conseil éliminerait l'essentiel de la responsabilité des compagnies aériennes, en supprimant les incitations qui maintiennent aujourd'hui les retards sous contrôle. </w:t>
      </w:r>
      <w:r>
        <w:rPr>
          <w:b/>
          <w:sz w:val="22"/>
        </w:rPr>
        <w:t>En France, la procédure judiciaire s'est encore compliquée depuis le 7 février 2026 : les passagers doivent désormais obligatoirement passer par un médiateur de la consommation avant de saisir un juge, puis recourir</w:t>
      </w:r>
      <w:r>
        <w:rPr>
          <w:b/>
          <w:spacing w:val="-4"/>
          <w:sz w:val="22"/>
        </w:rPr>
        <w:t> </w:t>
      </w:r>
      <w:r>
        <w:rPr>
          <w:b/>
          <w:sz w:val="22"/>
        </w:rPr>
        <w:t>à</w:t>
      </w:r>
      <w:r>
        <w:rPr>
          <w:b/>
          <w:spacing w:val="-4"/>
          <w:sz w:val="22"/>
        </w:rPr>
        <w:t> </w:t>
      </w:r>
      <w:r>
        <w:rPr>
          <w:b/>
          <w:sz w:val="22"/>
        </w:rPr>
        <w:t>une</w:t>
      </w:r>
      <w:r>
        <w:rPr>
          <w:b/>
          <w:spacing w:val="-4"/>
          <w:sz w:val="22"/>
        </w:rPr>
        <w:t> </w:t>
      </w:r>
      <w:r>
        <w:rPr>
          <w:b/>
          <w:sz w:val="22"/>
        </w:rPr>
        <w:t>assignation</w:t>
      </w:r>
      <w:r>
        <w:rPr>
          <w:b/>
          <w:spacing w:val="-4"/>
          <w:sz w:val="22"/>
        </w:rPr>
        <w:t> </w:t>
      </w:r>
      <w:r>
        <w:rPr>
          <w:b/>
          <w:sz w:val="22"/>
        </w:rPr>
        <w:t>délivrée</w:t>
      </w:r>
      <w:r>
        <w:rPr>
          <w:b/>
          <w:spacing w:val="-4"/>
          <w:sz w:val="22"/>
        </w:rPr>
        <w:t> </w:t>
      </w:r>
      <w:r>
        <w:rPr>
          <w:b/>
          <w:sz w:val="22"/>
        </w:rPr>
        <w:t>par</w:t>
      </w:r>
      <w:r>
        <w:rPr>
          <w:b/>
          <w:spacing w:val="-4"/>
          <w:sz w:val="22"/>
        </w:rPr>
        <w:t> </w:t>
      </w:r>
      <w:r>
        <w:rPr>
          <w:b/>
          <w:sz w:val="22"/>
        </w:rPr>
        <w:t>un</w:t>
      </w:r>
      <w:r>
        <w:rPr>
          <w:b/>
          <w:spacing w:val="-4"/>
          <w:sz w:val="22"/>
        </w:rPr>
        <w:t> </w:t>
      </w:r>
      <w:r>
        <w:rPr>
          <w:b/>
          <w:sz w:val="22"/>
        </w:rPr>
        <w:t>commissaire</w:t>
      </w:r>
      <w:r>
        <w:rPr>
          <w:b/>
          <w:spacing w:val="-4"/>
          <w:sz w:val="22"/>
        </w:rPr>
        <w:t> </w:t>
      </w:r>
      <w:r>
        <w:rPr>
          <w:b/>
          <w:sz w:val="22"/>
        </w:rPr>
        <w:t>de</w:t>
      </w:r>
      <w:r>
        <w:rPr>
          <w:b/>
          <w:spacing w:val="-4"/>
          <w:sz w:val="22"/>
        </w:rPr>
        <w:t> </w:t>
      </w:r>
      <w:r>
        <w:rPr>
          <w:b/>
          <w:sz w:val="22"/>
        </w:rPr>
        <w:t>justice.</w:t>
      </w:r>
      <w:r>
        <w:rPr>
          <w:b/>
          <w:spacing w:val="-4"/>
          <w:sz w:val="22"/>
        </w:rPr>
        <w:t> </w:t>
      </w:r>
      <w:r>
        <w:rPr>
          <w:b/>
          <w:sz w:val="22"/>
        </w:rPr>
        <w:t>Une</w:t>
      </w:r>
      <w:r>
        <w:rPr>
          <w:b/>
          <w:spacing w:val="-4"/>
          <w:sz w:val="22"/>
        </w:rPr>
        <w:t> </w:t>
      </w:r>
      <w:r>
        <w:rPr>
          <w:b/>
          <w:sz w:val="22"/>
        </w:rPr>
        <w:t>démarche</w:t>
      </w:r>
      <w:r>
        <w:rPr>
          <w:b/>
          <w:spacing w:val="-4"/>
          <w:sz w:val="22"/>
        </w:rPr>
        <w:t> </w:t>
      </w:r>
      <w:r>
        <w:rPr>
          <w:b/>
          <w:sz w:val="22"/>
        </w:rPr>
        <w:t>dont</w:t>
      </w:r>
      <w:r>
        <w:rPr>
          <w:b/>
          <w:spacing w:val="-4"/>
          <w:sz w:val="22"/>
        </w:rPr>
        <w:t> </w:t>
      </w:r>
      <w:r>
        <w:rPr>
          <w:b/>
          <w:sz w:val="22"/>
        </w:rPr>
        <w:t>les</w:t>
      </w:r>
      <w:r>
        <w:rPr>
          <w:b/>
          <w:spacing w:val="-4"/>
          <w:sz w:val="22"/>
        </w:rPr>
        <w:t> </w:t>
      </w:r>
      <w:r>
        <w:rPr>
          <w:b/>
          <w:sz w:val="22"/>
        </w:rPr>
        <w:t>frais s'élèvent généralement entre 50 et 150 </w:t>
      </w:r>
      <w:r>
        <w:rPr>
          <w:rFonts w:ascii="Arial" w:hAnsi="Arial"/>
          <w:b/>
          <w:sz w:val="22"/>
        </w:rPr>
        <w:t>€</w:t>
      </w:r>
      <w:r>
        <w:rPr>
          <w:b/>
          <w:sz w:val="22"/>
        </w:rPr>
        <w:t>, auxquels s'ajoutent les éventuels honoraires d'avocat. Avec une indemnisation</w:t>
      </w:r>
      <w:r>
        <w:rPr>
          <w:b/>
          <w:spacing w:val="-5"/>
          <w:sz w:val="22"/>
        </w:rPr>
        <w:t> </w:t>
      </w:r>
      <w:r>
        <w:rPr>
          <w:b/>
          <w:sz w:val="22"/>
        </w:rPr>
        <w:t>plafonnée</w:t>
      </w:r>
      <w:r>
        <w:rPr>
          <w:b/>
          <w:spacing w:val="-5"/>
          <w:sz w:val="22"/>
        </w:rPr>
        <w:t> </w:t>
      </w:r>
      <w:r>
        <w:rPr>
          <w:b/>
          <w:sz w:val="22"/>
        </w:rPr>
        <w:t>à</w:t>
      </w:r>
      <w:r>
        <w:rPr>
          <w:b/>
          <w:spacing w:val="-5"/>
          <w:sz w:val="22"/>
        </w:rPr>
        <w:t> </w:t>
      </w:r>
      <w:r>
        <w:rPr>
          <w:b/>
          <w:sz w:val="22"/>
        </w:rPr>
        <w:t>300</w:t>
      </w:r>
      <w:r>
        <w:rPr>
          <w:b/>
          <w:spacing w:val="-5"/>
          <w:sz w:val="22"/>
        </w:rPr>
        <w:t> </w:t>
      </w:r>
      <w:r>
        <w:rPr>
          <w:rFonts w:ascii="Arial" w:hAnsi="Arial"/>
          <w:b/>
          <w:sz w:val="22"/>
        </w:rPr>
        <w:t>€</w:t>
      </w:r>
      <w:r>
        <w:rPr>
          <w:b/>
          <w:sz w:val="22"/>
        </w:rPr>
        <w:t>,</w:t>
      </w:r>
      <w:r>
        <w:rPr>
          <w:b/>
          <w:spacing w:val="-5"/>
          <w:sz w:val="22"/>
        </w:rPr>
        <w:t> </w:t>
      </w:r>
      <w:r>
        <w:rPr>
          <w:b/>
          <w:sz w:val="22"/>
        </w:rPr>
        <w:t>le</w:t>
      </w:r>
      <w:r>
        <w:rPr>
          <w:b/>
          <w:spacing w:val="-5"/>
          <w:sz w:val="22"/>
        </w:rPr>
        <w:t> </w:t>
      </w:r>
      <w:r>
        <w:rPr>
          <w:b/>
          <w:sz w:val="22"/>
        </w:rPr>
        <w:t>recours</w:t>
      </w:r>
      <w:r>
        <w:rPr>
          <w:b/>
          <w:spacing w:val="-5"/>
          <w:sz w:val="22"/>
        </w:rPr>
        <w:t> </w:t>
      </w:r>
      <w:r>
        <w:rPr>
          <w:b/>
          <w:sz w:val="22"/>
        </w:rPr>
        <w:t>en</w:t>
      </w:r>
      <w:r>
        <w:rPr>
          <w:b/>
          <w:spacing w:val="-5"/>
          <w:sz w:val="22"/>
        </w:rPr>
        <w:t> </w:t>
      </w:r>
      <w:r>
        <w:rPr>
          <w:b/>
          <w:sz w:val="22"/>
        </w:rPr>
        <w:t>justice</w:t>
      </w:r>
      <w:r>
        <w:rPr>
          <w:b/>
          <w:spacing w:val="-5"/>
          <w:sz w:val="22"/>
        </w:rPr>
        <w:t> </w:t>
      </w:r>
      <w:r>
        <w:rPr>
          <w:b/>
          <w:sz w:val="22"/>
        </w:rPr>
        <w:t>deviendrait</w:t>
      </w:r>
      <w:r>
        <w:rPr>
          <w:b/>
          <w:spacing w:val="-5"/>
          <w:sz w:val="22"/>
        </w:rPr>
        <w:t> </w:t>
      </w:r>
      <w:r>
        <w:rPr>
          <w:b/>
          <w:sz w:val="22"/>
        </w:rPr>
        <w:t>un</w:t>
      </w:r>
      <w:r>
        <w:rPr>
          <w:b/>
          <w:spacing w:val="-5"/>
          <w:sz w:val="22"/>
        </w:rPr>
        <w:t> </w:t>
      </w:r>
      <w:r>
        <w:rPr>
          <w:b/>
          <w:sz w:val="22"/>
        </w:rPr>
        <w:t>frein</w:t>
      </w:r>
      <w:r>
        <w:rPr>
          <w:b/>
          <w:spacing w:val="-5"/>
          <w:sz w:val="22"/>
        </w:rPr>
        <w:t> </w:t>
      </w:r>
      <w:r>
        <w:rPr>
          <w:b/>
          <w:sz w:val="22"/>
        </w:rPr>
        <w:t>financier</w:t>
      </w:r>
      <w:r>
        <w:rPr>
          <w:b/>
          <w:spacing w:val="-5"/>
          <w:sz w:val="22"/>
        </w:rPr>
        <w:t> </w:t>
      </w:r>
      <w:r>
        <w:rPr>
          <w:b/>
          <w:sz w:val="22"/>
        </w:rPr>
        <w:t>pour de nombreux passagers, avec un retour sur investissement faible, voire inexistant.</w:t>
      </w:r>
    </w:p>
    <w:p>
      <w:pPr>
        <w:spacing w:before="240"/>
        <w:ind w:left="23" w:right="35" w:firstLine="0"/>
        <w:jc w:val="both"/>
        <w:rPr>
          <w:sz w:val="22"/>
        </w:rPr>
      </w:pPr>
      <w:r>
        <w:rPr>
          <w:sz w:val="22"/>
        </w:rPr>
        <w:t>APRA rappelle qu'</w:t>
      </w:r>
      <w:r>
        <w:rPr>
          <w:b/>
          <w:sz w:val="22"/>
        </w:rPr>
        <w:t>aucune des affirmations de l'industrie concernant les coûts et la connectivité n'est étayée par des données fiables </w:t>
      </w:r>
      <w:r>
        <w:rPr>
          <w:sz w:val="22"/>
        </w:rPr>
        <w:t>et réclame que la réforme soit fondée sur des preuves et renforce la clarté et l'application du règlement, plutôt que de le démanteler.</w:t>
      </w:r>
    </w:p>
    <w:p>
      <w:pPr>
        <w:pStyle w:val="BodyText"/>
        <w:spacing w:before="240"/>
        <w:ind w:left="23" w:right="36"/>
        <w:jc w:val="both"/>
        <w:rPr>
          <w:i w:val="0"/>
        </w:rPr>
      </w:pPr>
      <w:r>
        <w:rPr/>
        <w:t>« CE 261 aligne les incitations des compagnies aériennes sur les intérêts des passagers. Affaiblir les règles inverse cette logique, en récompensant les retards et en pénalisant les voyageurs »</w:t>
      </w:r>
      <w:r>
        <w:rPr>
          <w:i w:val="0"/>
        </w:rPr>
        <w:t>, conclut </w:t>
      </w:r>
      <w:r>
        <w:rPr>
          <w:i w:val="0"/>
          <w:spacing w:val="-2"/>
        </w:rPr>
        <w:t>Pawliszyn.</w:t>
      </w:r>
    </w:p>
    <w:p>
      <w:pPr>
        <w:pStyle w:val="Heading1"/>
      </w:pPr>
      <w:r>
        <w:rPr/>
        <w:t>Les</w:t>
      </w:r>
      <w:r>
        <w:rPr>
          <w:spacing w:val="-9"/>
        </w:rPr>
        <w:t> </w:t>
      </w:r>
      <w:r>
        <w:rPr/>
        <w:t>reculs</w:t>
      </w:r>
      <w:r>
        <w:rPr>
          <w:spacing w:val="-8"/>
        </w:rPr>
        <w:t> </w:t>
      </w:r>
      <w:r>
        <w:rPr/>
        <w:t>toujours</w:t>
      </w:r>
      <w:r>
        <w:rPr>
          <w:spacing w:val="-8"/>
        </w:rPr>
        <w:t> </w:t>
      </w:r>
      <w:r>
        <w:rPr/>
        <w:t>rejetés</w:t>
      </w:r>
      <w:r>
        <w:rPr>
          <w:spacing w:val="-8"/>
        </w:rPr>
        <w:t> </w:t>
      </w:r>
      <w:r>
        <w:rPr/>
        <w:t>par</w:t>
      </w:r>
      <w:r>
        <w:rPr>
          <w:spacing w:val="-8"/>
        </w:rPr>
        <w:t> </w:t>
      </w:r>
      <w:r>
        <w:rPr/>
        <w:t>plusieurs</w:t>
      </w:r>
      <w:r>
        <w:rPr>
          <w:spacing w:val="-8"/>
        </w:rPr>
        <w:t> </w:t>
      </w:r>
      <w:r>
        <w:rPr>
          <w:spacing w:val="-2"/>
        </w:rPr>
        <w:t>gouvernements</w:t>
      </w:r>
    </w:p>
    <w:p>
      <w:pPr>
        <w:spacing w:line="276" w:lineRule="auto" w:before="180"/>
        <w:ind w:left="23" w:right="36" w:firstLine="0"/>
        <w:jc w:val="both"/>
        <w:rPr>
          <w:sz w:val="22"/>
        </w:rPr>
      </w:pPr>
      <w:r>
        <w:rPr>
          <w:sz w:val="22"/>
        </w:rPr>
        <w:t>Le Conseil a entamé les négociations sans parler d'une seule voix. Plusieurs États membres, dont l'Allemagne, le Portugal et la Slovénie, ont souligné que le fait d'accepter d'engager des discussions n'équivaut pas à soutenir des propositions qui affaibliraient les droits des passagers.</w:t>
      </w:r>
    </w:p>
    <w:p>
      <w:pPr>
        <w:spacing w:line="276" w:lineRule="auto" w:before="140"/>
        <w:ind w:left="23" w:right="36" w:firstLine="0"/>
        <w:jc w:val="both"/>
        <w:rPr>
          <w:sz w:val="22"/>
        </w:rPr>
      </w:pPr>
      <w:r>
        <w:rPr>
          <w:sz w:val="22"/>
        </w:rPr>
        <w:t>Les questions politiquement les plus sensibles, comme les seuils de retard et les montants des indemnités, devraient être traitées ultérieurement dans le cadre du processus de conciliation, où le Conseil et le Parlement négocieront le résultat final.</w:t>
      </w:r>
    </w:p>
    <w:p>
      <w:pPr>
        <w:spacing w:before="139"/>
        <w:ind w:left="23" w:right="0" w:firstLine="0"/>
        <w:jc w:val="both"/>
        <w:rPr>
          <w:b/>
          <w:sz w:val="18"/>
        </w:rPr>
      </w:pPr>
      <w:r>
        <w:rPr>
          <w:b/>
          <w:sz w:val="18"/>
        </w:rPr>
        <w:t>*</w:t>
      </w:r>
      <w:r>
        <w:rPr>
          <w:b/>
          <w:spacing w:val="-2"/>
          <w:sz w:val="18"/>
        </w:rPr>
        <w:t> </w:t>
      </w:r>
      <w:r>
        <w:rPr>
          <w:b/>
          <w:sz w:val="18"/>
        </w:rPr>
        <w:t>Qu'est-ce</w:t>
      </w:r>
      <w:r>
        <w:rPr>
          <w:b/>
          <w:spacing w:val="-2"/>
          <w:sz w:val="18"/>
        </w:rPr>
        <w:t> </w:t>
      </w:r>
      <w:r>
        <w:rPr>
          <w:b/>
          <w:sz w:val="18"/>
        </w:rPr>
        <w:t>que</w:t>
      </w:r>
      <w:r>
        <w:rPr>
          <w:b/>
          <w:spacing w:val="-2"/>
          <w:sz w:val="18"/>
        </w:rPr>
        <w:t> </w:t>
      </w:r>
      <w:r>
        <w:rPr>
          <w:b/>
          <w:sz w:val="18"/>
        </w:rPr>
        <w:t>le</w:t>
      </w:r>
      <w:r>
        <w:rPr>
          <w:b/>
          <w:spacing w:val="-2"/>
          <w:sz w:val="18"/>
        </w:rPr>
        <w:t> </w:t>
      </w:r>
      <w:r>
        <w:rPr>
          <w:b/>
          <w:sz w:val="18"/>
        </w:rPr>
        <w:t>règlement</w:t>
      </w:r>
      <w:r>
        <w:rPr>
          <w:b/>
          <w:spacing w:val="-2"/>
          <w:sz w:val="18"/>
        </w:rPr>
        <w:t> </w:t>
      </w:r>
      <w:r>
        <w:rPr>
          <w:b/>
          <w:sz w:val="18"/>
        </w:rPr>
        <w:t>CE</w:t>
      </w:r>
      <w:r>
        <w:rPr>
          <w:b/>
          <w:spacing w:val="-2"/>
          <w:sz w:val="18"/>
        </w:rPr>
        <w:t> </w:t>
      </w:r>
      <w:r>
        <w:rPr>
          <w:b/>
          <w:sz w:val="18"/>
        </w:rPr>
        <w:t>261</w:t>
      </w:r>
      <w:r>
        <w:rPr>
          <w:b/>
          <w:spacing w:val="-1"/>
          <w:sz w:val="18"/>
        </w:rPr>
        <w:t> </w:t>
      </w:r>
      <w:r>
        <w:rPr>
          <w:b/>
          <w:spacing w:val="-10"/>
          <w:sz w:val="18"/>
        </w:rPr>
        <w:t>?</w:t>
      </w:r>
    </w:p>
    <w:p>
      <w:pPr>
        <w:spacing w:line="276" w:lineRule="auto" w:before="173"/>
        <w:ind w:left="23" w:right="37" w:firstLine="0"/>
        <w:jc w:val="both"/>
        <w:rPr>
          <w:sz w:val="18"/>
        </w:rPr>
      </w:pPr>
      <w:r>
        <w:rPr>
          <w:sz w:val="18"/>
        </w:rPr>
        <w:t>Adopté en 2004, le règlement européen CE 261 est le texte de référence en matière de</w:t>
      </w:r>
      <w:r>
        <w:rPr>
          <w:spacing w:val="-4"/>
          <w:sz w:val="18"/>
        </w:rPr>
        <w:t> </w:t>
      </w:r>
      <w:r>
        <w:rPr>
          <w:sz w:val="18"/>
        </w:rPr>
        <w:t>droits</w:t>
      </w:r>
      <w:r>
        <w:rPr>
          <w:spacing w:val="-4"/>
          <w:sz w:val="18"/>
        </w:rPr>
        <w:t> </w:t>
      </w:r>
      <w:r>
        <w:rPr>
          <w:sz w:val="18"/>
        </w:rPr>
        <w:t>des</w:t>
      </w:r>
      <w:r>
        <w:rPr>
          <w:spacing w:val="-4"/>
          <w:sz w:val="18"/>
        </w:rPr>
        <w:t> </w:t>
      </w:r>
      <w:r>
        <w:rPr>
          <w:sz w:val="18"/>
        </w:rPr>
        <w:t>passagers</w:t>
      </w:r>
      <w:r>
        <w:rPr>
          <w:spacing w:val="-4"/>
          <w:sz w:val="18"/>
        </w:rPr>
        <w:t> </w:t>
      </w:r>
      <w:r>
        <w:rPr>
          <w:sz w:val="18"/>
        </w:rPr>
        <w:t>aériens</w:t>
      </w:r>
      <w:r>
        <w:rPr>
          <w:spacing w:val="-4"/>
          <w:sz w:val="18"/>
        </w:rPr>
        <w:t> </w:t>
      </w:r>
      <w:r>
        <w:rPr>
          <w:sz w:val="18"/>
        </w:rPr>
        <w:t>dans l'Union européenne. Il s'applique à tous les vols au départ d'un aéroport européen,</w:t>
      </w:r>
      <w:r>
        <w:rPr>
          <w:spacing w:val="-2"/>
          <w:sz w:val="18"/>
        </w:rPr>
        <w:t> </w:t>
      </w:r>
      <w:r>
        <w:rPr>
          <w:sz w:val="18"/>
        </w:rPr>
        <w:t>ainsi</w:t>
      </w:r>
      <w:r>
        <w:rPr>
          <w:spacing w:val="-2"/>
          <w:sz w:val="18"/>
        </w:rPr>
        <w:t> </w:t>
      </w:r>
      <w:r>
        <w:rPr>
          <w:sz w:val="18"/>
        </w:rPr>
        <w:t>qu'aux</w:t>
      </w:r>
      <w:r>
        <w:rPr>
          <w:spacing w:val="-2"/>
          <w:sz w:val="18"/>
        </w:rPr>
        <w:t> </w:t>
      </w:r>
      <w:r>
        <w:rPr>
          <w:sz w:val="18"/>
        </w:rPr>
        <w:t>vols</w:t>
      </w:r>
      <w:r>
        <w:rPr>
          <w:spacing w:val="-2"/>
          <w:sz w:val="18"/>
        </w:rPr>
        <w:t> </w:t>
      </w:r>
      <w:r>
        <w:rPr>
          <w:sz w:val="18"/>
        </w:rPr>
        <w:t>à</w:t>
      </w:r>
      <w:r>
        <w:rPr>
          <w:spacing w:val="-2"/>
          <w:sz w:val="18"/>
        </w:rPr>
        <w:t> </w:t>
      </w:r>
      <w:r>
        <w:rPr>
          <w:sz w:val="18"/>
        </w:rPr>
        <w:t>destination</w:t>
      </w:r>
      <w:r>
        <w:rPr>
          <w:spacing w:val="-2"/>
          <w:sz w:val="18"/>
        </w:rPr>
        <w:t> </w:t>
      </w:r>
      <w:r>
        <w:rPr>
          <w:sz w:val="18"/>
        </w:rPr>
        <w:t>de</w:t>
      </w:r>
      <w:r>
        <w:rPr>
          <w:spacing w:val="-2"/>
          <w:sz w:val="18"/>
        </w:rPr>
        <w:t> </w:t>
      </w:r>
      <w:r>
        <w:rPr>
          <w:sz w:val="18"/>
        </w:rPr>
        <w:t>l'UE opérés par une compagnie européenne. Concrètement, il garantit aux passagers le droit à une indemnisation en cas de retard important, d'annulation ou de refus d'embarquement, ainsi qu'un droit</w:t>
      </w:r>
      <w:r>
        <w:rPr>
          <w:spacing w:val="-4"/>
          <w:sz w:val="18"/>
        </w:rPr>
        <w:t> </w:t>
      </w:r>
      <w:r>
        <w:rPr>
          <w:sz w:val="18"/>
        </w:rPr>
        <w:t>à</w:t>
      </w:r>
      <w:r>
        <w:rPr>
          <w:spacing w:val="-4"/>
          <w:sz w:val="18"/>
        </w:rPr>
        <w:t> </w:t>
      </w:r>
      <w:r>
        <w:rPr>
          <w:sz w:val="18"/>
        </w:rPr>
        <w:t>la</w:t>
      </w:r>
      <w:r>
        <w:rPr>
          <w:spacing w:val="-4"/>
          <w:sz w:val="18"/>
        </w:rPr>
        <w:t> </w:t>
      </w:r>
      <w:r>
        <w:rPr>
          <w:sz w:val="18"/>
        </w:rPr>
        <w:t>prise</w:t>
      </w:r>
      <w:r>
        <w:rPr>
          <w:spacing w:val="-4"/>
          <w:sz w:val="18"/>
        </w:rPr>
        <w:t> </w:t>
      </w:r>
      <w:r>
        <w:rPr>
          <w:sz w:val="18"/>
        </w:rPr>
        <w:t>en</w:t>
      </w:r>
      <w:r>
        <w:rPr>
          <w:spacing w:val="-4"/>
          <w:sz w:val="18"/>
        </w:rPr>
        <w:t> </w:t>
      </w:r>
      <w:r>
        <w:rPr>
          <w:sz w:val="18"/>
        </w:rPr>
        <w:t>charge</w:t>
      </w:r>
      <w:r>
        <w:rPr>
          <w:spacing w:val="-4"/>
          <w:sz w:val="18"/>
        </w:rPr>
        <w:t> </w:t>
      </w:r>
      <w:r>
        <w:rPr>
          <w:sz w:val="18"/>
        </w:rPr>
        <w:t>(repas,</w:t>
      </w:r>
      <w:r>
        <w:rPr>
          <w:spacing w:val="-4"/>
          <w:sz w:val="18"/>
        </w:rPr>
        <w:t> </w:t>
      </w:r>
      <w:r>
        <w:rPr>
          <w:sz w:val="18"/>
        </w:rPr>
        <w:t>hébergement</w:t>
      </w:r>
      <w:r>
        <w:rPr>
          <w:spacing w:val="-4"/>
          <w:sz w:val="18"/>
        </w:rPr>
        <w:t> </w:t>
      </w:r>
      <w:r>
        <w:rPr>
          <w:sz w:val="18"/>
        </w:rPr>
        <w:t>et transport)</w:t>
      </w:r>
      <w:r>
        <w:rPr>
          <w:spacing w:val="72"/>
          <w:sz w:val="18"/>
        </w:rPr>
        <w:t>  </w:t>
      </w:r>
      <w:r>
        <w:rPr>
          <w:sz w:val="18"/>
        </w:rPr>
        <w:t>lorsqu'ils</w:t>
      </w:r>
      <w:r>
        <w:rPr>
          <w:spacing w:val="71"/>
          <w:sz w:val="18"/>
        </w:rPr>
        <w:t> </w:t>
      </w:r>
      <w:r>
        <w:rPr>
          <w:sz w:val="18"/>
        </w:rPr>
        <w:t>se</w:t>
      </w:r>
      <w:r>
        <w:rPr>
          <w:spacing w:val="72"/>
          <w:sz w:val="18"/>
        </w:rPr>
        <w:t> </w:t>
      </w:r>
      <w:r>
        <w:rPr>
          <w:sz w:val="18"/>
        </w:rPr>
        <w:t>retrouvent</w:t>
      </w:r>
      <w:r>
        <w:rPr>
          <w:spacing w:val="57"/>
          <w:sz w:val="18"/>
        </w:rPr>
        <w:t> </w:t>
      </w:r>
      <w:r>
        <w:rPr>
          <w:sz w:val="18"/>
        </w:rPr>
        <w:t>bloqués.</w:t>
      </w:r>
      <w:r>
        <w:rPr>
          <w:spacing w:val="56"/>
          <w:sz w:val="18"/>
        </w:rPr>
        <w:t> </w:t>
      </w:r>
      <w:r>
        <w:rPr>
          <w:sz w:val="18"/>
        </w:rPr>
        <w:t>Depuis</w:t>
      </w:r>
      <w:r>
        <w:rPr>
          <w:spacing w:val="57"/>
          <w:sz w:val="18"/>
        </w:rPr>
        <w:t> </w:t>
      </w:r>
      <w:r>
        <w:rPr>
          <w:sz w:val="18"/>
        </w:rPr>
        <w:t>plus</w:t>
      </w:r>
      <w:r>
        <w:rPr>
          <w:spacing w:val="57"/>
          <w:sz w:val="18"/>
        </w:rPr>
        <w:t> </w:t>
      </w:r>
      <w:r>
        <w:rPr>
          <w:sz w:val="18"/>
        </w:rPr>
        <w:t>de</w:t>
      </w:r>
      <w:r>
        <w:rPr>
          <w:spacing w:val="57"/>
          <w:sz w:val="18"/>
        </w:rPr>
        <w:t> </w:t>
      </w:r>
      <w:r>
        <w:rPr>
          <w:sz w:val="18"/>
        </w:rPr>
        <w:t>vingt</w:t>
      </w:r>
      <w:r>
        <w:rPr>
          <w:spacing w:val="57"/>
          <w:sz w:val="18"/>
        </w:rPr>
        <w:t> </w:t>
      </w:r>
      <w:r>
        <w:rPr>
          <w:sz w:val="18"/>
        </w:rPr>
        <w:t>ans,</w:t>
      </w:r>
      <w:r>
        <w:rPr>
          <w:spacing w:val="57"/>
          <w:sz w:val="18"/>
        </w:rPr>
        <w:t> </w:t>
      </w:r>
      <w:r>
        <w:rPr>
          <w:sz w:val="18"/>
        </w:rPr>
        <w:t>ce</w:t>
      </w:r>
      <w:r>
        <w:rPr>
          <w:spacing w:val="56"/>
          <w:sz w:val="18"/>
        </w:rPr>
        <w:t> </w:t>
      </w:r>
      <w:r>
        <w:rPr>
          <w:sz w:val="18"/>
        </w:rPr>
        <w:t>règlement</w:t>
      </w:r>
      <w:r>
        <w:rPr>
          <w:spacing w:val="57"/>
          <w:sz w:val="18"/>
        </w:rPr>
        <w:t> </w:t>
      </w:r>
      <w:r>
        <w:rPr>
          <w:sz w:val="18"/>
        </w:rPr>
        <w:t>a</w:t>
      </w:r>
      <w:r>
        <w:rPr>
          <w:spacing w:val="57"/>
          <w:sz w:val="18"/>
        </w:rPr>
        <w:t> </w:t>
      </w:r>
      <w:r>
        <w:rPr>
          <w:sz w:val="18"/>
        </w:rPr>
        <w:t>profondément</w:t>
      </w:r>
      <w:r>
        <w:rPr>
          <w:spacing w:val="57"/>
          <w:sz w:val="18"/>
        </w:rPr>
        <w:t> </w:t>
      </w:r>
      <w:r>
        <w:rPr>
          <w:sz w:val="18"/>
        </w:rPr>
        <w:t>modifié</w:t>
      </w:r>
      <w:r>
        <w:rPr>
          <w:spacing w:val="57"/>
          <w:sz w:val="18"/>
        </w:rPr>
        <w:t> </w:t>
      </w:r>
      <w:r>
        <w:rPr>
          <w:spacing w:val="-5"/>
          <w:sz w:val="18"/>
        </w:rPr>
        <w:t>le</w:t>
      </w:r>
    </w:p>
    <w:p>
      <w:pPr>
        <w:spacing w:after="0" w:line="276" w:lineRule="auto"/>
        <w:jc w:val="both"/>
        <w:rPr>
          <w:sz w:val="18"/>
        </w:rPr>
        <w:sectPr>
          <w:pgSz w:w="11920" w:h="16840"/>
          <w:pgMar w:header="180" w:footer="0" w:top="2000" w:bottom="280" w:left="1417" w:right="1417"/>
        </w:sectPr>
      </w:pPr>
    </w:p>
    <w:p>
      <w:pPr>
        <w:spacing w:line="276" w:lineRule="auto" w:before="113"/>
        <w:ind w:left="23" w:right="45" w:firstLine="0"/>
        <w:jc w:val="both"/>
        <w:rPr>
          <w:sz w:val="18"/>
        </w:rPr>
      </w:pPr>
      <w:r>
        <w:rPr>
          <w:sz w:val="18"/>
        </w:rPr>
        <w:t>comportement des compagnies aériennes et</w:t>
      </w:r>
      <w:r>
        <w:rPr>
          <w:spacing w:val="-4"/>
          <w:sz w:val="18"/>
        </w:rPr>
        <w:t> </w:t>
      </w:r>
      <w:r>
        <w:rPr>
          <w:sz w:val="18"/>
        </w:rPr>
        <w:t>fait</w:t>
      </w:r>
      <w:r>
        <w:rPr>
          <w:spacing w:val="-4"/>
          <w:sz w:val="18"/>
        </w:rPr>
        <w:t> </w:t>
      </w:r>
      <w:r>
        <w:rPr>
          <w:sz w:val="18"/>
        </w:rPr>
        <w:t>de</w:t>
      </w:r>
      <w:r>
        <w:rPr>
          <w:spacing w:val="-4"/>
          <w:sz w:val="18"/>
        </w:rPr>
        <w:t> </w:t>
      </w:r>
      <w:r>
        <w:rPr>
          <w:sz w:val="18"/>
        </w:rPr>
        <w:t>l'Europe</w:t>
      </w:r>
      <w:r>
        <w:rPr>
          <w:spacing w:val="-4"/>
          <w:sz w:val="18"/>
        </w:rPr>
        <w:t> </w:t>
      </w:r>
      <w:r>
        <w:rPr>
          <w:sz w:val="18"/>
        </w:rPr>
        <w:t>la</w:t>
      </w:r>
      <w:r>
        <w:rPr>
          <w:spacing w:val="-4"/>
          <w:sz w:val="18"/>
        </w:rPr>
        <w:t> </w:t>
      </w:r>
      <w:r>
        <w:rPr>
          <w:sz w:val="18"/>
        </w:rPr>
        <w:t>région</w:t>
      </w:r>
      <w:r>
        <w:rPr>
          <w:spacing w:val="-4"/>
          <w:sz w:val="18"/>
        </w:rPr>
        <w:t> </w:t>
      </w:r>
      <w:r>
        <w:rPr>
          <w:sz w:val="18"/>
        </w:rPr>
        <w:t>du</w:t>
      </w:r>
      <w:r>
        <w:rPr>
          <w:spacing w:val="-4"/>
          <w:sz w:val="18"/>
        </w:rPr>
        <w:t> </w:t>
      </w:r>
      <w:r>
        <w:rPr>
          <w:sz w:val="18"/>
        </w:rPr>
        <w:t>monde</w:t>
      </w:r>
      <w:r>
        <w:rPr>
          <w:spacing w:val="-4"/>
          <w:sz w:val="18"/>
        </w:rPr>
        <w:t> </w:t>
      </w:r>
      <w:r>
        <w:rPr>
          <w:sz w:val="18"/>
        </w:rPr>
        <w:t>offrant</w:t>
      </w:r>
      <w:r>
        <w:rPr>
          <w:spacing w:val="-4"/>
          <w:sz w:val="18"/>
        </w:rPr>
        <w:t> </w:t>
      </w:r>
      <w:r>
        <w:rPr>
          <w:sz w:val="18"/>
        </w:rPr>
        <w:t>les</w:t>
      </w:r>
      <w:r>
        <w:rPr>
          <w:spacing w:val="-4"/>
          <w:sz w:val="18"/>
        </w:rPr>
        <w:t> </w:t>
      </w:r>
      <w:r>
        <w:rPr>
          <w:sz w:val="18"/>
        </w:rPr>
        <w:t>protections</w:t>
      </w:r>
      <w:r>
        <w:rPr>
          <w:spacing w:val="-4"/>
          <w:sz w:val="18"/>
        </w:rPr>
        <w:t> </w:t>
      </w:r>
      <w:r>
        <w:rPr>
          <w:sz w:val="18"/>
        </w:rPr>
        <w:t>les</w:t>
      </w:r>
      <w:r>
        <w:rPr>
          <w:spacing w:val="-4"/>
          <w:sz w:val="18"/>
        </w:rPr>
        <w:t> </w:t>
      </w:r>
      <w:r>
        <w:rPr>
          <w:sz w:val="18"/>
        </w:rPr>
        <w:t>plus</w:t>
      </w:r>
      <w:r>
        <w:rPr>
          <w:spacing w:val="-4"/>
          <w:sz w:val="18"/>
        </w:rPr>
        <w:t> </w:t>
      </w:r>
      <w:r>
        <w:rPr>
          <w:sz w:val="18"/>
        </w:rPr>
        <w:t>solides</w:t>
      </w:r>
      <w:r>
        <w:rPr>
          <w:spacing w:val="-4"/>
          <w:sz w:val="18"/>
        </w:rPr>
        <w:t> </w:t>
      </w:r>
      <w:r>
        <w:rPr>
          <w:sz w:val="18"/>
        </w:rPr>
        <w:t>aux voyageurs aériens.</w:t>
      </w:r>
    </w:p>
    <w:p>
      <w:pPr>
        <w:spacing w:line="240" w:lineRule="auto" w:before="173"/>
        <w:rPr>
          <w:sz w:val="18"/>
        </w:rPr>
      </w:pPr>
    </w:p>
    <w:p>
      <w:pPr>
        <w:spacing w:before="0"/>
        <w:ind w:left="23" w:right="0" w:firstLine="0"/>
        <w:jc w:val="both"/>
        <w:rPr>
          <w:b/>
          <w:sz w:val="18"/>
        </w:rPr>
      </w:pPr>
      <w:r>
        <w:rPr>
          <w:b/>
          <w:sz w:val="18"/>
          <w:u w:val="thick"/>
        </w:rPr>
        <w:t>À</w:t>
      </w:r>
      <w:r>
        <w:rPr>
          <w:b/>
          <w:spacing w:val="-2"/>
          <w:sz w:val="18"/>
          <w:u w:val="thick"/>
        </w:rPr>
        <w:t> </w:t>
      </w:r>
      <w:r>
        <w:rPr>
          <w:b/>
          <w:sz w:val="18"/>
          <w:u w:val="thick"/>
        </w:rPr>
        <w:t>propos</w:t>
      </w:r>
      <w:r>
        <w:rPr>
          <w:b/>
          <w:spacing w:val="-1"/>
          <w:sz w:val="18"/>
          <w:u w:val="thick"/>
        </w:rPr>
        <w:t> </w:t>
      </w:r>
      <w:r>
        <w:rPr>
          <w:b/>
          <w:spacing w:val="-2"/>
          <w:sz w:val="18"/>
          <w:u w:val="thick"/>
        </w:rPr>
        <w:t>d’APRA</w:t>
      </w:r>
    </w:p>
    <w:p>
      <w:pPr>
        <w:spacing w:line="240" w:lineRule="auto" w:before="66"/>
        <w:rPr>
          <w:b/>
          <w:sz w:val="18"/>
        </w:rPr>
      </w:pPr>
    </w:p>
    <w:p>
      <w:pPr>
        <w:spacing w:line="276" w:lineRule="auto" w:before="0"/>
        <w:ind w:left="23" w:right="37" w:firstLine="0"/>
        <w:jc w:val="both"/>
        <w:rPr>
          <w:sz w:val="18"/>
        </w:rPr>
      </w:pPr>
      <w:r>
        <w:rPr>
          <w:sz w:val="18"/>
        </w:rPr>
        <w:t>L’Association for the Protection</w:t>
      </w:r>
      <w:r>
        <w:rPr>
          <w:spacing w:val="-6"/>
          <w:sz w:val="18"/>
        </w:rPr>
        <w:t> </w:t>
      </w:r>
      <w:r>
        <w:rPr>
          <w:sz w:val="18"/>
        </w:rPr>
        <w:t>of</w:t>
      </w:r>
      <w:r>
        <w:rPr>
          <w:spacing w:val="-6"/>
          <w:sz w:val="18"/>
        </w:rPr>
        <w:t> </w:t>
      </w:r>
      <w:r>
        <w:rPr>
          <w:sz w:val="18"/>
        </w:rPr>
        <w:t>Air</w:t>
      </w:r>
      <w:r>
        <w:rPr>
          <w:spacing w:val="-6"/>
          <w:sz w:val="18"/>
        </w:rPr>
        <w:t> </w:t>
      </w:r>
      <w:r>
        <w:rPr>
          <w:sz w:val="18"/>
        </w:rPr>
        <w:t>Passenger</w:t>
      </w:r>
      <w:r>
        <w:rPr>
          <w:spacing w:val="-6"/>
          <w:sz w:val="18"/>
        </w:rPr>
        <w:t> </w:t>
      </w:r>
      <w:r>
        <w:rPr>
          <w:sz w:val="18"/>
        </w:rPr>
        <w:t>Rights</w:t>
      </w:r>
      <w:r>
        <w:rPr>
          <w:spacing w:val="-6"/>
          <w:sz w:val="18"/>
        </w:rPr>
        <w:t> </w:t>
      </w:r>
      <w:r>
        <w:rPr>
          <w:sz w:val="18"/>
        </w:rPr>
        <w:t>(APRA)</w:t>
      </w:r>
      <w:r>
        <w:rPr>
          <w:spacing w:val="-6"/>
          <w:sz w:val="18"/>
        </w:rPr>
        <w:t> </w:t>
      </w:r>
      <w:r>
        <w:rPr>
          <w:sz w:val="18"/>
        </w:rPr>
        <w:t>a</w:t>
      </w:r>
      <w:r>
        <w:rPr>
          <w:spacing w:val="-6"/>
          <w:sz w:val="18"/>
        </w:rPr>
        <w:t> </w:t>
      </w:r>
      <w:r>
        <w:rPr>
          <w:sz w:val="18"/>
        </w:rPr>
        <w:t>été</w:t>
      </w:r>
      <w:r>
        <w:rPr>
          <w:spacing w:val="-6"/>
          <w:sz w:val="18"/>
        </w:rPr>
        <w:t> </w:t>
      </w:r>
      <w:r>
        <w:rPr>
          <w:sz w:val="18"/>
        </w:rPr>
        <w:t>créée</w:t>
      </w:r>
      <w:r>
        <w:rPr>
          <w:spacing w:val="-6"/>
          <w:sz w:val="18"/>
        </w:rPr>
        <w:t> </w:t>
      </w:r>
      <w:r>
        <w:rPr>
          <w:sz w:val="18"/>
        </w:rPr>
        <w:t>en</w:t>
      </w:r>
      <w:r>
        <w:rPr>
          <w:spacing w:val="-6"/>
          <w:sz w:val="18"/>
        </w:rPr>
        <w:t> </w:t>
      </w:r>
      <w:r>
        <w:rPr>
          <w:sz w:val="18"/>
        </w:rPr>
        <w:t>2017</w:t>
      </w:r>
      <w:r>
        <w:rPr>
          <w:spacing w:val="-6"/>
          <w:sz w:val="18"/>
        </w:rPr>
        <w:t> </w:t>
      </w:r>
      <w:r>
        <w:rPr>
          <w:sz w:val="18"/>
        </w:rPr>
        <w:t>afin</w:t>
      </w:r>
      <w:r>
        <w:rPr>
          <w:spacing w:val="-6"/>
          <w:sz w:val="18"/>
        </w:rPr>
        <w:t> </w:t>
      </w:r>
      <w:r>
        <w:rPr>
          <w:sz w:val="18"/>
        </w:rPr>
        <w:t>de</w:t>
      </w:r>
      <w:r>
        <w:rPr>
          <w:spacing w:val="-6"/>
          <w:sz w:val="18"/>
        </w:rPr>
        <w:t> </w:t>
      </w:r>
      <w:r>
        <w:rPr>
          <w:sz w:val="18"/>
        </w:rPr>
        <w:t>représenter</w:t>
      </w:r>
      <w:r>
        <w:rPr>
          <w:spacing w:val="-6"/>
          <w:sz w:val="18"/>
        </w:rPr>
        <w:t> </w:t>
      </w:r>
      <w:r>
        <w:rPr>
          <w:sz w:val="18"/>
        </w:rPr>
        <w:t>la</w:t>
      </w:r>
      <w:r>
        <w:rPr>
          <w:spacing w:val="-6"/>
          <w:sz w:val="18"/>
        </w:rPr>
        <w:t> </w:t>
      </w:r>
      <w:r>
        <w:rPr>
          <w:sz w:val="18"/>
        </w:rPr>
        <w:t>voix</w:t>
      </w:r>
      <w:r>
        <w:rPr>
          <w:spacing w:val="-6"/>
          <w:sz w:val="18"/>
        </w:rPr>
        <w:t> </w:t>
      </w:r>
      <w:r>
        <w:rPr>
          <w:sz w:val="18"/>
        </w:rPr>
        <w:t>des</w:t>
      </w:r>
      <w:r>
        <w:rPr>
          <w:spacing w:val="-6"/>
          <w:sz w:val="18"/>
        </w:rPr>
        <w:t> </w:t>
      </w:r>
      <w:r>
        <w:rPr>
          <w:sz w:val="18"/>
        </w:rPr>
        <w:t>passagers aériens et de défendre leurs droits.</w:t>
      </w:r>
      <w:r>
        <w:rPr>
          <w:spacing w:val="-4"/>
          <w:sz w:val="18"/>
        </w:rPr>
        <w:t> </w:t>
      </w:r>
      <w:r>
        <w:rPr>
          <w:sz w:val="18"/>
        </w:rPr>
        <w:t>Fondée</w:t>
      </w:r>
      <w:r>
        <w:rPr>
          <w:spacing w:val="-4"/>
          <w:sz w:val="18"/>
        </w:rPr>
        <w:t> </w:t>
      </w:r>
      <w:r>
        <w:rPr>
          <w:sz w:val="18"/>
        </w:rPr>
        <w:t>par</w:t>
      </w:r>
      <w:r>
        <w:rPr>
          <w:spacing w:val="-4"/>
          <w:sz w:val="18"/>
        </w:rPr>
        <w:t> </w:t>
      </w:r>
      <w:r>
        <w:rPr>
          <w:sz w:val="18"/>
        </w:rPr>
        <w:t>plusieurs</w:t>
      </w:r>
      <w:r>
        <w:rPr>
          <w:spacing w:val="-4"/>
          <w:sz w:val="18"/>
        </w:rPr>
        <w:t> </w:t>
      </w:r>
      <w:r>
        <w:rPr>
          <w:sz w:val="18"/>
        </w:rPr>
        <w:t>des</w:t>
      </w:r>
      <w:r>
        <w:rPr>
          <w:spacing w:val="-4"/>
          <w:sz w:val="18"/>
        </w:rPr>
        <w:t> </w:t>
      </w:r>
      <w:r>
        <w:rPr>
          <w:sz w:val="18"/>
        </w:rPr>
        <w:t>principales</w:t>
      </w:r>
      <w:r>
        <w:rPr>
          <w:spacing w:val="-4"/>
          <w:sz w:val="18"/>
        </w:rPr>
        <w:t> </w:t>
      </w:r>
      <w:r>
        <w:rPr>
          <w:sz w:val="18"/>
        </w:rPr>
        <w:t>entreprises</w:t>
      </w:r>
      <w:r>
        <w:rPr>
          <w:spacing w:val="-4"/>
          <w:sz w:val="18"/>
        </w:rPr>
        <w:t> </w:t>
      </w:r>
      <w:r>
        <w:rPr>
          <w:sz w:val="18"/>
        </w:rPr>
        <w:t>mondiales</w:t>
      </w:r>
      <w:r>
        <w:rPr>
          <w:spacing w:val="-4"/>
          <w:sz w:val="18"/>
        </w:rPr>
        <w:t> </w:t>
      </w:r>
      <w:r>
        <w:rPr>
          <w:sz w:val="18"/>
        </w:rPr>
        <w:t>spécialisées</w:t>
      </w:r>
      <w:r>
        <w:rPr>
          <w:spacing w:val="-4"/>
          <w:sz w:val="18"/>
        </w:rPr>
        <w:t> </w:t>
      </w:r>
      <w:r>
        <w:rPr>
          <w:sz w:val="18"/>
        </w:rPr>
        <w:t>dans</w:t>
      </w:r>
      <w:r>
        <w:rPr>
          <w:spacing w:val="-4"/>
          <w:sz w:val="18"/>
        </w:rPr>
        <w:t> </w:t>
      </w:r>
      <w:r>
        <w:rPr>
          <w:sz w:val="18"/>
        </w:rPr>
        <w:t>la</w:t>
      </w:r>
      <w:r>
        <w:rPr>
          <w:spacing w:val="-4"/>
          <w:sz w:val="18"/>
        </w:rPr>
        <w:t> </w:t>
      </w:r>
      <w:r>
        <w:rPr>
          <w:sz w:val="18"/>
        </w:rPr>
        <w:t>gestion des indemnisations de vols, sa mission est d’assurer le plus haut niveau de protection possible pour les voyageurs aériens.</w:t>
      </w:r>
    </w:p>
    <w:p>
      <w:pPr>
        <w:spacing w:line="240" w:lineRule="auto" w:before="33"/>
        <w:rPr>
          <w:sz w:val="18"/>
        </w:rPr>
      </w:pPr>
    </w:p>
    <w:p>
      <w:pPr>
        <w:spacing w:line="276" w:lineRule="auto" w:before="0"/>
        <w:ind w:left="23" w:right="45" w:firstLine="0"/>
        <w:jc w:val="both"/>
        <w:rPr>
          <w:sz w:val="18"/>
        </w:rPr>
      </w:pPr>
      <w:r>
        <w:rPr>
          <w:sz w:val="18"/>
        </w:rPr>
        <w:t>L’APRA participe activement à un dialogue constructif avec les institutions européennes et nationales, ainsi qu’avec les compagnies aériennes, les aéroports, les autorités nationales compétentes et d’autres acteurs clés du secteur.</w:t>
      </w:r>
    </w:p>
    <w:p>
      <w:pPr>
        <w:spacing w:line="276" w:lineRule="auto" w:before="0"/>
        <w:ind w:left="23" w:right="42" w:firstLine="0"/>
        <w:jc w:val="both"/>
        <w:rPr>
          <w:sz w:val="18"/>
        </w:rPr>
      </w:pPr>
      <w:r>
        <w:rPr>
          <w:sz w:val="18"/>
        </w:rPr>
        <w:t>L’association met à disposition des données fiables, des analyses approfondies et</w:t>
      </w:r>
      <w:r>
        <w:rPr>
          <w:spacing w:val="-5"/>
          <w:sz w:val="18"/>
        </w:rPr>
        <w:t> </w:t>
      </w:r>
      <w:r>
        <w:rPr>
          <w:sz w:val="18"/>
        </w:rPr>
        <w:t>une</w:t>
      </w:r>
      <w:r>
        <w:rPr>
          <w:spacing w:val="-5"/>
          <w:sz w:val="18"/>
        </w:rPr>
        <w:t> </w:t>
      </w:r>
      <w:r>
        <w:rPr>
          <w:sz w:val="18"/>
        </w:rPr>
        <w:t>expertise</w:t>
      </w:r>
      <w:r>
        <w:rPr>
          <w:spacing w:val="-5"/>
          <w:sz w:val="18"/>
        </w:rPr>
        <w:t> </w:t>
      </w:r>
      <w:r>
        <w:rPr>
          <w:sz w:val="18"/>
        </w:rPr>
        <w:t>collective</w:t>
      </w:r>
      <w:r>
        <w:rPr>
          <w:spacing w:val="-5"/>
          <w:sz w:val="18"/>
        </w:rPr>
        <w:t> </w:t>
      </w:r>
      <w:r>
        <w:rPr>
          <w:sz w:val="18"/>
        </w:rPr>
        <w:t>pour</w:t>
      </w:r>
      <w:r>
        <w:rPr>
          <w:spacing w:val="-5"/>
          <w:sz w:val="18"/>
        </w:rPr>
        <w:t> </w:t>
      </w:r>
      <w:r>
        <w:rPr>
          <w:sz w:val="18"/>
        </w:rPr>
        <w:t>éclairer</w:t>
      </w:r>
      <w:r>
        <w:rPr>
          <w:spacing w:val="-5"/>
          <w:sz w:val="18"/>
        </w:rPr>
        <w:t> </w:t>
      </w:r>
      <w:r>
        <w:rPr>
          <w:sz w:val="18"/>
        </w:rPr>
        <w:t>les décideurs politiques et promouvoir les intérêts des passagers européens.</w:t>
      </w:r>
    </w:p>
    <w:p>
      <w:pPr>
        <w:spacing w:line="240" w:lineRule="auto" w:before="33"/>
        <w:rPr>
          <w:sz w:val="18"/>
        </w:rPr>
      </w:pPr>
    </w:p>
    <w:p>
      <w:pPr>
        <w:spacing w:before="0"/>
        <w:ind w:left="23" w:right="0" w:firstLine="0"/>
        <w:jc w:val="both"/>
        <w:rPr>
          <w:sz w:val="18"/>
        </w:rPr>
      </w:pPr>
      <w:r>
        <w:rPr>
          <w:sz w:val="18"/>
        </w:rPr>
        <w:t>Parmi</w:t>
      </w:r>
      <w:r>
        <w:rPr>
          <w:spacing w:val="-7"/>
          <w:sz w:val="18"/>
        </w:rPr>
        <w:t> </w:t>
      </w:r>
      <w:r>
        <w:rPr>
          <w:sz w:val="18"/>
        </w:rPr>
        <w:t>les</w:t>
      </w:r>
      <w:r>
        <w:rPr>
          <w:spacing w:val="-4"/>
          <w:sz w:val="18"/>
        </w:rPr>
        <w:t> </w:t>
      </w:r>
      <w:r>
        <w:rPr>
          <w:sz w:val="18"/>
        </w:rPr>
        <w:t>membres</w:t>
      </w:r>
      <w:r>
        <w:rPr>
          <w:spacing w:val="-4"/>
          <w:sz w:val="18"/>
        </w:rPr>
        <w:t> </w:t>
      </w:r>
      <w:r>
        <w:rPr>
          <w:sz w:val="18"/>
        </w:rPr>
        <w:t>de</w:t>
      </w:r>
      <w:r>
        <w:rPr>
          <w:spacing w:val="-4"/>
          <w:sz w:val="18"/>
        </w:rPr>
        <w:t> </w:t>
      </w:r>
      <w:r>
        <w:rPr>
          <w:sz w:val="18"/>
        </w:rPr>
        <w:t>l’APRA</w:t>
      </w:r>
      <w:r>
        <w:rPr>
          <w:spacing w:val="-5"/>
          <w:sz w:val="18"/>
        </w:rPr>
        <w:t> </w:t>
      </w:r>
      <w:r>
        <w:rPr>
          <w:sz w:val="18"/>
        </w:rPr>
        <w:t>figurent</w:t>
      </w:r>
      <w:r>
        <w:rPr>
          <w:spacing w:val="-4"/>
          <w:sz w:val="18"/>
        </w:rPr>
        <w:t> </w:t>
      </w:r>
      <w:r>
        <w:rPr>
          <w:sz w:val="18"/>
        </w:rPr>
        <w:t>notamment</w:t>
      </w:r>
      <w:r>
        <w:rPr>
          <w:spacing w:val="-4"/>
          <w:sz w:val="18"/>
        </w:rPr>
        <w:t> </w:t>
      </w:r>
      <w:r>
        <w:rPr>
          <w:sz w:val="18"/>
        </w:rPr>
        <w:t>AirHelp,</w:t>
      </w:r>
      <w:r>
        <w:rPr>
          <w:spacing w:val="-4"/>
          <w:sz w:val="18"/>
        </w:rPr>
        <w:t> </w:t>
      </w:r>
      <w:r>
        <w:rPr>
          <w:sz w:val="18"/>
        </w:rPr>
        <w:t>EUclaim,</w:t>
      </w:r>
      <w:r>
        <w:rPr>
          <w:spacing w:val="-5"/>
          <w:sz w:val="18"/>
        </w:rPr>
        <w:t> </w:t>
      </w:r>
      <w:r>
        <w:rPr>
          <w:sz w:val="18"/>
        </w:rPr>
        <w:t>Reclamador</w:t>
      </w:r>
      <w:r>
        <w:rPr>
          <w:spacing w:val="-4"/>
          <w:sz w:val="18"/>
        </w:rPr>
        <w:t> </w:t>
      </w:r>
      <w:r>
        <w:rPr>
          <w:sz w:val="18"/>
        </w:rPr>
        <w:t>et</w:t>
      </w:r>
      <w:r>
        <w:rPr>
          <w:spacing w:val="-4"/>
          <w:sz w:val="18"/>
        </w:rPr>
        <w:t> </w:t>
      </w:r>
      <w:r>
        <w:rPr>
          <w:sz w:val="18"/>
        </w:rPr>
        <w:t>Flightright,</w:t>
      </w:r>
      <w:r>
        <w:rPr>
          <w:spacing w:val="-4"/>
          <w:sz w:val="18"/>
        </w:rPr>
        <w:t> </w:t>
      </w:r>
      <w:r>
        <w:rPr>
          <w:sz w:val="18"/>
        </w:rPr>
        <w:t>entre</w:t>
      </w:r>
      <w:r>
        <w:rPr>
          <w:spacing w:val="-4"/>
          <w:sz w:val="18"/>
        </w:rPr>
        <w:t> </w:t>
      </w:r>
      <w:r>
        <w:rPr>
          <w:spacing w:val="-2"/>
          <w:sz w:val="18"/>
        </w:rPr>
        <w:t>autres.</w:t>
      </w:r>
    </w:p>
    <w:p>
      <w:pPr>
        <w:spacing w:line="240" w:lineRule="auto" w:before="130"/>
        <w:rPr>
          <w:sz w:val="18"/>
        </w:rPr>
      </w:pPr>
    </w:p>
    <w:p>
      <w:pPr>
        <w:spacing w:line="415" w:lineRule="auto" w:before="1"/>
        <w:ind w:left="23" w:right="6763" w:firstLine="0"/>
        <w:jc w:val="left"/>
        <w:rPr>
          <w:b/>
          <w:sz w:val="18"/>
        </w:rPr>
      </w:pPr>
      <w:r>
        <w:rPr>
          <w:b/>
          <w:sz w:val="18"/>
          <w:u w:val="thick"/>
        </w:rPr>
        <w:t>Pour plus d’information :</w:t>
      </w:r>
      <w:r>
        <w:rPr>
          <w:b/>
          <w:sz w:val="18"/>
        </w:rPr>
        <w:t> María Díaz </w:t>
      </w:r>
      <w:r>
        <w:rPr>
          <w:b/>
          <w:color w:val="1154CC"/>
          <w:spacing w:val="-2"/>
          <w:sz w:val="18"/>
          <w:u w:val="thick" w:color="1154CC"/>
        </w:rPr>
        <w:t>f</w:t>
      </w:r>
      <w:hyperlink r:id="rId7">
        <w:r>
          <w:rPr>
            <w:b/>
            <w:color w:val="1154CC"/>
            <w:spacing w:val="-2"/>
            <w:sz w:val="18"/>
            <w:u w:val="thick" w:color="1154CC"/>
          </w:rPr>
          <w:t>rance.airhelp@actitud.agency</w:t>
        </w:r>
      </w:hyperlink>
    </w:p>
    <w:p>
      <w:pPr>
        <w:spacing w:line="219" w:lineRule="exact" w:before="0"/>
        <w:ind w:left="23" w:right="0" w:firstLine="0"/>
        <w:jc w:val="left"/>
        <w:rPr>
          <w:b/>
          <w:sz w:val="18"/>
        </w:rPr>
      </w:pPr>
      <w:r>
        <w:rPr>
          <w:b/>
          <w:sz w:val="18"/>
          <w:u w:val="thick"/>
        </w:rPr>
        <w:t>T.</w:t>
      </w:r>
      <w:r>
        <w:rPr>
          <w:b/>
          <w:spacing w:val="-4"/>
          <w:sz w:val="18"/>
          <w:u w:val="thick"/>
        </w:rPr>
        <w:t> </w:t>
      </w:r>
      <w:r>
        <w:rPr>
          <w:b/>
          <w:sz w:val="18"/>
          <w:u w:val="thick"/>
        </w:rPr>
        <w:t>07</w:t>
      </w:r>
      <w:r>
        <w:rPr>
          <w:b/>
          <w:spacing w:val="-3"/>
          <w:sz w:val="18"/>
          <w:u w:val="thick"/>
        </w:rPr>
        <w:t> </w:t>
      </w:r>
      <w:r>
        <w:rPr>
          <w:b/>
          <w:sz w:val="18"/>
          <w:u w:val="thick"/>
        </w:rPr>
        <w:t>82</w:t>
      </w:r>
      <w:r>
        <w:rPr>
          <w:b/>
          <w:spacing w:val="-3"/>
          <w:sz w:val="18"/>
          <w:u w:val="thick"/>
        </w:rPr>
        <w:t> </w:t>
      </w:r>
      <w:r>
        <w:rPr>
          <w:b/>
          <w:sz w:val="18"/>
          <w:u w:val="thick"/>
        </w:rPr>
        <w:t>50</w:t>
      </w:r>
      <w:r>
        <w:rPr>
          <w:b/>
          <w:spacing w:val="-3"/>
          <w:sz w:val="18"/>
          <w:u w:val="thick"/>
        </w:rPr>
        <w:t> </w:t>
      </w:r>
      <w:r>
        <w:rPr>
          <w:b/>
          <w:sz w:val="18"/>
          <w:u w:val="thick"/>
        </w:rPr>
        <w:t>84</w:t>
      </w:r>
      <w:r>
        <w:rPr>
          <w:b/>
          <w:spacing w:val="-3"/>
          <w:sz w:val="18"/>
          <w:u w:val="thick"/>
        </w:rPr>
        <w:t> </w:t>
      </w:r>
      <w:r>
        <w:rPr>
          <w:b/>
          <w:spacing w:val="-5"/>
          <w:sz w:val="18"/>
          <w:u w:val="thick"/>
        </w:rPr>
        <w:t>14</w:t>
      </w:r>
    </w:p>
    <w:sectPr>
      <w:pgSz w:w="11920" w:h="16840"/>
      <w:pgMar w:header="180" w:footer="0" w:top="200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w:drawing>
        <wp:anchor distT="0" distB="0" distL="0" distR="0" allowOverlap="1" layoutInCell="1" locked="0" behindDoc="1" simplePos="0" relativeHeight="487545856">
          <wp:simplePos x="0" y="0"/>
          <wp:positionH relativeFrom="page">
            <wp:posOffset>5829300</wp:posOffset>
          </wp:positionH>
          <wp:positionV relativeFrom="page">
            <wp:posOffset>114300</wp:posOffset>
          </wp:positionV>
          <wp:extent cx="933450" cy="93345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33450" cy="9334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43" w:hanging="360"/>
      </w:pPr>
      <w:rPr>
        <w:rFonts w:hint="default" w:ascii="Arial" w:hAnsi="Arial" w:eastAsia="Arial" w:cs="Arial"/>
        <w:spacing w:val="0"/>
        <w:w w:val="100"/>
        <w:lang w:val="fr-FR" w:eastAsia="en-US" w:bidi="ar-SA"/>
      </w:rPr>
    </w:lvl>
    <w:lvl w:ilvl="1">
      <w:start w:val="0"/>
      <w:numFmt w:val="bullet"/>
      <w:lvlText w:val="•"/>
      <w:lvlJc w:val="left"/>
      <w:pPr>
        <w:ind w:left="1574" w:hanging="360"/>
      </w:pPr>
      <w:rPr>
        <w:rFonts w:hint="default"/>
        <w:lang w:val="fr-FR" w:eastAsia="en-US" w:bidi="ar-SA"/>
      </w:rPr>
    </w:lvl>
    <w:lvl w:ilvl="2">
      <w:start w:val="0"/>
      <w:numFmt w:val="bullet"/>
      <w:lvlText w:val="•"/>
      <w:lvlJc w:val="left"/>
      <w:pPr>
        <w:ind w:left="2409" w:hanging="360"/>
      </w:pPr>
      <w:rPr>
        <w:rFonts w:hint="default"/>
        <w:lang w:val="fr-FR" w:eastAsia="en-US" w:bidi="ar-SA"/>
      </w:rPr>
    </w:lvl>
    <w:lvl w:ilvl="3">
      <w:start w:val="0"/>
      <w:numFmt w:val="bullet"/>
      <w:lvlText w:val="•"/>
      <w:lvlJc w:val="left"/>
      <w:pPr>
        <w:ind w:left="3243" w:hanging="360"/>
      </w:pPr>
      <w:rPr>
        <w:rFonts w:hint="default"/>
        <w:lang w:val="fr-FR" w:eastAsia="en-US" w:bidi="ar-SA"/>
      </w:rPr>
    </w:lvl>
    <w:lvl w:ilvl="4">
      <w:start w:val="0"/>
      <w:numFmt w:val="bullet"/>
      <w:lvlText w:val="•"/>
      <w:lvlJc w:val="left"/>
      <w:pPr>
        <w:ind w:left="4078" w:hanging="360"/>
      </w:pPr>
      <w:rPr>
        <w:rFonts w:hint="default"/>
        <w:lang w:val="fr-FR" w:eastAsia="en-US" w:bidi="ar-SA"/>
      </w:rPr>
    </w:lvl>
    <w:lvl w:ilvl="5">
      <w:start w:val="0"/>
      <w:numFmt w:val="bullet"/>
      <w:lvlText w:val="•"/>
      <w:lvlJc w:val="left"/>
      <w:pPr>
        <w:ind w:left="4913" w:hanging="360"/>
      </w:pPr>
      <w:rPr>
        <w:rFonts w:hint="default"/>
        <w:lang w:val="fr-FR" w:eastAsia="en-US" w:bidi="ar-SA"/>
      </w:rPr>
    </w:lvl>
    <w:lvl w:ilvl="6">
      <w:start w:val="0"/>
      <w:numFmt w:val="bullet"/>
      <w:lvlText w:val="•"/>
      <w:lvlJc w:val="left"/>
      <w:pPr>
        <w:ind w:left="5747" w:hanging="360"/>
      </w:pPr>
      <w:rPr>
        <w:rFonts w:hint="default"/>
        <w:lang w:val="fr-FR" w:eastAsia="en-US" w:bidi="ar-SA"/>
      </w:rPr>
    </w:lvl>
    <w:lvl w:ilvl="7">
      <w:start w:val="0"/>
      <w:numFmt w:val="bullet"/>
      <w:lvlText w:val="•"/>
      <w:lvlJc w:val="left"/>
      <w:pPr>
        <w:ind w:left="6582" w:hanging="360"/>
      </w:pPr>
      <w:rPr>
        <w:rFonts w:hint="default"/>
        <w:lang w:val="fr-FR" w:eastAsia="en-US" w:bidi="ar-SA"/>
      </w:rPr>
    </w:lvl>
    <w:lvl w:ilvl="8">
      <w:start w:val="0"/>
      <w:numFmt w:val="bullet"/>
      <w:lvlText w:val="•"/>
      <w:lvlJc w:val="left"/>
      <w:pPr>
        <w:ind w:left="7416" w:hanging="360"/>
      </w:pPr>
      <w:rPr>
        <w:rFonts w:hint="default"/>
        <w:lang w:val="fr-F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fr-FR" w:eastAsia="en-US" w:bidi="ar-SA"/>
    </w:rPr>
  </w:style>
  <w:style w:styleId="BodyText" w:type="paragraph">
    <w:name w:val="Body Text"/>
    <w:basedOn w:val="Normal"/>
    <w:uiPriority w:val="1"/>
    <w:qFormat/>
    <w:pPr/>
    <w:rPr>
      <w:rFonts w:ascii="Calibri" w:hAnsi="Calibri" w:eastAsia="Calibri" w:cs="Calibri"/>
      <w:i/>
      <w:iCs/>
      <w:sz w:val="22"/>
      <w:szCs w:val="22"/>
      <w:lang w:val="fr-FR" w:eastAsia="en-US" w:bidi="ar-SA"/>
    </w:rPr>
  </w:style>
  <w:style w:styleId="Heading1" w:type="paragraph">
    <w:name w:val="Heading 1"/>
    <w:basedOn w:val="Normal"/>
    <w:uiPriority w:val="1"/>
    <w:qFormat/>
    <w:pPr>
      <w:spacing w:before="240"/>
      <w:ind w:left="23"/>
      <w:jc w:val="both"/>
      <w:outlineLvl w:val="1"/>
    </w:pPr>
    <w:rPr>
      <w:rFonts w:ascii="Calibri" w:hAnsi="Calibri" w:eastAsia="Calibri" w:cs="Calibri"/>
      <w:b/>
      <w:bCs/>
      <w:sz w:val="22"/>
      <w:szCs w:val="22"/>
      <w:lang w:val="fr-FR" w:eastAsia="en-US" w:bidi="ar-SA"/>
    </w:rPr>
  </w:style>
  <w:style w:styleId="Heading2" w:type="paragraph">
    <w:name w:val="Heading 2"/>
    <w:basedOn w:val="Normal"/>
    <w:uiPriority w:val="1"/>
    <w:qFormat/>
    <w:pPr>
      <w:spacing w:before="114"/>
      <w:ind w:left="23" w:hanging="360"/>
      <w:outlineLvl w:val="2"/>
    </w:pPr>
    <w:rPr>
      <w:rFonts w:ascii="Calibri" w:hAnsi="Calibri" w:eastAsia="Calibri" w:cs="Calibri"/>
      <w:b/>
      <w:bCs/>
      <w:i/>
      <w:iCs/>
      <w:sz w:val="22"/>
      <w:szCs w:val="22"/>
      <w:lang w:val="fr-FR" w:eastAsia="en-US" w:bidi="ar-SA"/>
    </w:rPr>
  </w:style>
  <w:style w:styleId="Title" w:type="paragraph">
    <w:name w:val="Title"/>
    <w:basedOn w:val="Normal"/>
    <w:uiPriority w:val="1"/>
    <w:qFormat/>
    <w:pPr>
      <w:spacing w:before="243"/>
      <w:ind w:left="1991" w:hanging="1495"/>
    </w:pPr>
    <w:rPr>
      <w:rFonts w:ascii="Calibri" w:hAnsi="Calibri" w:eastAsia="Calibri" w:cs="Calibri"/>
      <w:b/>
      <w:bCs/>
      <w:sz w:val="36"/>
      <w:szCs w:val="36"/>
      <w:lang w:val="fr-FR" w:eastAsia="en-US" w:bidi="ar-SA"/>
    </w:rPr>
  </w:style>
  <w:style w:styleId="ListParagraph" w:type="paragraph">
    <w:name w:val="List Paragraph"/>
    <w:basedOn w:val="Normal"/>
    <w:uiPriority w:val="1"/>
    <w:qFormat/>
    <w:pPr>
      <w:spacing w:before="200"/>
      <w:ind w:left="743" w:right="66" w:hanging="360"/>
    </w:pPr>
    <w:rPr>
      <w:rFonts w:ascii="Calibri" w:hAnsi="Calibri" w:eastAsia="Calibri" w:cs="Calibri"/>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apra-eu.com/" TargetMode="External"/><Relationship Id="rId7" Type="http://schemas.openxmlformats.org/officeDocument/2006/relationships/hyperlink" Target="mailto:france.airhelp@actitud.agency" TargetMode="Externa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APRA - Mandat contre le CE 261</dc:title>
  <dcterms:created xsi:type="dcterms:W3CDTF">2026-03-20T10:07:28Z</dcterms:created>
  <dcterms:modified xsi:type="dcterms:W3CDTF">2026-03-20T10:07:28Z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2026-03-20T00:00:00Z</vt:filetime>
  </property>
  <property fmtid="{D5CDD505-2E9C-101B-9397-08002B2CF9AE}" pid="3" name="Producer">
    <vt:lpwstr>Skia/PDF m148 Google Docs Renderer</vt:lpwstr>
  </property>
  <property fmtid="{D5CDD505-2E9C-101B-9397-08002B2CF9AE}" pid="4" name="LastSaved">
    <vt:filetime>2026-03-20T00:00:00Z</vt:filetime>
  </property>
</Properties>
</file>