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E5" w:rsidRDefault="000E09F5">
      <w:pPr>
        <w:tabs>
          <w:tab w:val="center" w:pos="4252"/>
          <w:tab w:val="right" w:pos="8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238283</wp:posOffset>
            </wp:positionH>
            <wp:positionV relativeFrom="paragraph">
              <wp:posOffset>3</wp:posOffset>
            </wp:positionV>
            <wp:extent cx="865822" cy="451733"/>
            <wp:effectExtent l="0" t="0" r="0" b="0"/>
            <wp:wrapNone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451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4200714</wp:posOffset>
            </wp:positionH>
            <wp:positionV relativeFrom="paragraph">
              <wp:posOffset>9528</wp:posOffset>
            </wp:positionV>
            <wp:extent cx="753428" cy="491821"/>
            <wp:effectExtent l="0" t="0" r="0" b="0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8" cy="491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67E5" w:rsidRDefault="005467E5">
      <w:pPr>
        <w:tabs>
          <w:tab w:val="center" w:pos="4252"/>
          <w:tab w:val="right" w:pos="8504"/>
        </w:tabs>
        <w:rPr>
          <w:b/>
          <w:sz w:val="28"/>
          <w:szCs w:val="28"/>
        </w:rPr>
      </w:pPr>
    </w:p>
    <w:p w:rsidR="005467E5" w:rsidRDefault="005467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467E5" w:rsidRDefault="000E09F5">
      <w:pPr>
        <w:rPr>
          <w:sz w:val="20"/>
          <w:szCs w:val="20"/>
        </w:rPr>
      </w:pPr>
      <w:bookmarkStart w:id="0" w:name="_heading=h.30j0zll" w:colFirst="0" w:colLast="0"/>
      <w:bookmarkEnd w:id="0"/>
      <w:r>
        <w:rPr>
          <w:sz w:val="20"/>
          <w:szCs w:val="20"/>
        </w:rPr>
        <w:t>Tras la primera parada de la gira nacional e internacional del testimonial en el</w:t>
      </w:r>
      <w:r>
        <w:rPr>
          <w:b/>
          <w:sz w:val="20"/>
          <w:szCs w:val="20"/>
        </w:rPr>
        <w:t xml:space="preserve"> Instituto Cervantes de Chicago</w:t>
      </w:r>
      <w:r>
        <w:rPr>
          <w:sz w:val="20"/>
          <w:szCs w:val="20"/>
        </w:rPr>
        <w:t xml:space="preserve"> el pasado mes de junio,</w:t>
      </w:r>
    </w:p>
    <w:p w:rsidR="005467E5" w:rsidRDefault="003F5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Navacerrada (Madrid) acogió ayer</w:t>
      </w:r>
      <w:r w:rsidR="000E09F5">
        <w:rPr>
          <w:b/>
          <w:sz w:val="32"/>
          <w:szCs w:val="32"/>
        </w:rPr>
        <w:t xml:space="preserve"> la proyección del documental “El camino inverso” sobre la vida científica del doctor Mariano Barbacid </w:t>
      </w:r>
    </w:p>
    <w:p w:rsidR="005467E5" w:rsidRDefault="000E09F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1043939</wp:posOffset>
            </wp:positionH>
            <wp:positionV relativeFrom="paragraph">
              <wp:posOffset>102235</wp:posOffset>
            </wp:positionV>
            <wp:extent cx="3905250" cy="2817495"/>
            <wp:effectExtent l="0" t="0" r="0" b="0"/>
            <wp:wrapSquare wrapText="bothSides" distT="0" distB="0" distL="114300" distR="114300"/>
            <wp:docPr id="21" name="image4.jpg" descr="C:\Users\ACTITUD\AppData\Local\Microsoft\Windows\Temporary Internet Files\Content.Outlook\3LR46G2A\PHOTO-2023-07-26-09-22-46 (9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CTITUD\AppData\Local\Microsoft\Windows\Temporary Internet Files\Content.Outlook\3LR46G2A\PHOTO-2023-07-26-09-22-46 (9).jpg"/>
                    <pic:cNvPicPr preferRelativeResize="0"/>
                  </pic:nvPicPr>
                  <pic:blipFill>
                    <a:blip r:embed="rId9"/>
                    <a:srcRect l="7476" b="1099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17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67E5" w:rsidRDefault="005467E5">
      <w:pPr>
        <w:jc w:val="center"/>
        <w:rPr>
          <w:b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3F5E01" w:rsidRDefault="003F5E01">
      <w:pPr>
        <w:ind w:left="360"/>
        <w:jc w:val="both"/>
        <w:rPr>
          <w:b/>
          <w:sz w:val="20"/>
          <w:szCs w:val="20"/>
          <w:highlight w:val="white"/>
        </w:rPr>
      </w:pPr>
      <w:bookmarkStart w:id="1" w:name="_GoBack"/>
      <w:bookmarkEnd w:id="1"/>
    </w:p>
    <w:p w:rsidR="005467E5" w:rsidRDefault="005467E5">
      <w:pPr>
        <w:ind w:left="360"/>
        <w:jc w:val="both"/>
        <w:rPr>
          <w:b/>
          <w:sz w:val="20"/>
          <w:szCs w:val="20"/>
          <w:highlight w:val="white"/>
        </w:rPr>
      </w:pPr>
    </w:p>
    <w:p w:rsidR="003F5E01" w:rsidRPr="003F5E01" w:rsidRDefault="000E09F5" w:rsidP="003F5E01">
      <w:pPr>
        <w:numPr>
          <w:ilvl w:val="0"/>
          <w:numId w:val="1"/>
        </w:numPr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La proyección del documental </w:t>
      </w:r>
      <w:r w:rsidR="003F5E01" w:rsidRPr="003F5E01">
        <w:rPr>
          <w:b/>
          <w:sz w:val="20"/>
          <w:szCs w:val="20"/>
        </w:rPr>
        <w:t xml:space="preserve">promovido </w:t>
      </w:r>
      <w:r w:rsidR="003F5E01">
        <w:rPr>
          <w:b/>
          <w:sz w:val="20"/>
          <w:szCs w:val="20"/>
        </w:rPr>
        <w:t xml:space="preserve">por la Dra. Rosario Lagunas Gil, </w:t>
      </w:r>
      <w:r>
        <w:rPr>
          <w:b/>
          <w:sz w:val="20"/>
          <w:szCs w:val="20"/>
          <w:highlight w:val="white"/>
        </w:rPr>
        <w:t>consiguió un lleno total del auditorio y contó con la</w:t>
      </w:r>
      <w:r>
        <w:rPr>
          <w:b/>
          <w:sz w:val="20"/>
          <w:szCs w:val="20"/>
        </w:rPr>
        <w:t xml:space="preserve"> presencia de la directora de la Casa de la Cultura de Navacerrada, Rocío del Mar Castro, </w:t>
      </w:r>
      <w:r w:rsidR="003F5E01">
        <w:rPr>
          <w:b/>
          <w:sz w:val="20"/>
          <w:szCs w:val="20"/>
        </w:rPr>
        <w:t xml:space="preserve">que </w:t>
      </w:r>
      <w:r>
        <w:rPr>
          <w:b/>
          <w:sz w:val="20"/>
          <w:szCs w:val="20"/>
          <w:highlight w:val="white"/>
        </w:rPr>
        <w:t xml:space="preserve">dio </w:t>
      </w:r>
      <w:r>
        <w:rPr>
          <w:b/>
          <w:sz w:val="20"/>
          <w:szCs w:val="20"/>
        </w:rPr>
        <w:t xml:space="preserve">paso a un </w:t>
      </w:r>
      <w:r w:rsidR="003F5E01">
        <w:rPr>
          <w:b/>
          <w:sz w:val="20"/>
          <w:szCs w:val="20"/>
        </w:rPr>
        <w:t>diálogo</w:t>
      </w:r>
      <w:r>
        <w:rPr>
          <w:b/>
          <w:sz w:val="20"/>
          <w:szCs w:val="20"/>
        </w:rPr>
        <w:t xml:space="preserve"> con el científico </w:t>
      </w:r>
    </w:p>
    <w:p w:rsidR="005467E5" w:rsidRDefault="000E09F5">
      <w:pPr>
        <w:numPr>
          <w:ilvl w:val="0"/>
          <w:numId w:val="1"/>
        </w:numPr>
        <w:spacing w:after="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>“La investigación clínica en oncología en España es puntera pero la financiación pública está fuera de rango y la ciencia no está en la agenda política de nadie” declaró el reconocido científico durante el coloquio final</w:t>
      </w:r>
    </w:p>
    <w:p w:rsidR="005467E5" w:rsidRDefault="005467E5">
      <w:pPr>
        <w:spacing w:after="0"/>
        <w:ind w:left="360"/>
        <w:rPr>
          <w:b/>
          <w:sz w:val="20"/>
          <w:szCs w:val="20"/>
        </w:rPr>
      </w:pPr>
    </w:p>
    <w:p w:rsidR="005467E5" w:rsidRDefault="005467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467E5" w:rsidRDefault="000E09F5">
      <w:pPr>
        <w:rPr>
          <w:sz w:val="20"/>
          <w:szCs w:val="20"/>
        </w:rPr>
      </w:pPr>
      <w:r>
        <w:rPr>
          <w:b/>
          <w:sz w:val="20"/>
          <w:szCs w:val="20"/>
        </w:rPr>
        <w:t>Madrid, 26 de julio de 2023.-</w:t>
      </w:r>
      <w:r>
        <w:rPr>
          <w:sz w:val="20"/>
          <w:szCs w:val="20"/>
        </w:rPr>
        <w:t xml:space="preserve"> La gira del </w:t>
      </w:r>
      <w:r>
        <w:rPr>
          <w:b/>
          <w:sz w:val="20"/>
          <w:szCs w:val="20"/>
        </w:rPr>
        <w:t>documental “El Camino Inverso” sobre la carrera científica del Dr. Mariano Barbacid</w:t>
      </w:r>
      <w:r>
        <w:rPr>
          <w:sz w:val="20"/>
          <w:szCs w:val="20"/>
        </w:rPr>
        <w:t xml:space="preserve"> tuvo ayer su segunda parada en</w:t>
      </w:r>
      <w:r>
        <w:rPr>
          <w:b/>
          <w:sz w:val="20"/>
          <w:szCs w:val="20"/>
        </w:rPr>
        <w:t xml:space="preserve"> Navacerrada (Madrid)</w:t>
      </w:r>
      <w:r>
        <w:rPr>
          <w:sz w:val="20"/>
          <w:szCs w:val="20"/>
        </w:rPr>
        <w:t xml:space="preserve"> dentro de un programa de actos de divulgación científica a nivel nacional e internacional para acercar la carrera del prestigioso científico al público general y reivindicar un mayor apoyo a la investigación en ciencia.</w:t>
      </w:r>
    </w:p>
    <w:p w:rsidR="005467E5" w:rsidRDefault="000E09F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El acto, </w:t>
      </w:r>
      <w:r>
        <w:rPr>
          <w:b/>
          <w:sz w:val="20"/>
          <w:szCs w:val="20"/>
        </w:rPr>
        <w:t>promovido por la Dra. Rosario Lagunas Gil</w:t>
      </w:r>
      <w:r>
        <w:rPr>
          <w:sz w:val="20"/>
          <w:szCs w:val="20"/>
        </w:rPr>
        <w:t xml:space="preserve"> y que tuvo lugar anoche en la </w:t>
      </w:r>
      <w:r>
        <w:rPr>
          <w:b/>
          <w:sz w:val="20"/>
          <w:szCs w:val="20"/>
        </w:rPr>
        <w:t xml:space="preserve">Casa de la Cultura del Ayuntamiento de Navacerrada (Madrid), </w:t>
      </w:r>
      <w:r>
        <w:rPr>
          <w:sz w:val="20"/>
          <w:szCs w:val="20"/>
        </w:rPr>
        <w:t xml:space="preserve"> contó con la presencia del doctor Mariano Barbacid y de la directora de la Casa de la Cultura de Navacerrada, Rocío del Mar Castro consiguiendo un lleno total del auditorio y una gran participación de los asistentes. </w:t>
      </w:r>
    </w:p>
    <w:p w:rsidR="005467E5" w:rsidRDefault="000E09F5">
      <w:pPr>
        <w:rPr>
          <w:sz w:val="20"/>
          <w:szCs w:val="20"/>
        </w:rPr>
      </w:pPr>
      <w:r>
        <w:rPr>
          <w:b/>
          <w:sz w:val="20"/>
          <w:szCs w:val="20"/>
        </w:rPr>
        <w:t>La financiación a la investigación y la detección precoz, temas estrellas del coloquio</w:t>
      </w:r>
      <w:r>
        <w:rPr>
          <w:sz w:val="20"/>
          <w:szCs w:val="20"/>
        </w:rPr>
        <w:t xml:space="preserve"> </w:t>
      </w:r>
    </w:p>
    <w:p w:rsidR="005467E5" w:rsidRDefault="000E09F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La proyección del documental sirvió de introducción para el desarrollo de un coloquio posterior sobre diferentes temas y aspectos relevantes de la carrera científica del científico, descubridor del primer gen humano responsable de producir cáncer, y de otros que han servido ya para desarrollar medicamentos eficaces contra algunos tipos de tumores. </w:t>
      </w:r>
    </w:p>
    <w:p w:rsidR="005467E5" w:rsidRDefault="000E09F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El doctor Mariano Barbacid respondió a diferentes cuestiones formuladas por el público, como la pregunta ¿cómo se financia el CNIO? a lo que el  reconocido investigador respondió que “la financiación basal del Estado lleva congelada desde 2002 y apuntó a proyectos competitivos, contratos con la industria y proyectos entidades filantrópicas como la AECC y en los últimos años con más intensidad CRIS contra el Cáncer”.</w:t>
      </w:r>
    </w:p>
    <w:p w:rsidR="005467E5" w:rsidRDefault="000E09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En el coloquio también se habló sobre las nuevas terapias contra el cáncer que no se mencionan en el documental por haber surgido después, entre las que destacó “la </w:t>
      </w:r>
      <w:proofErr w:type="spellStart"/>
      <w:r>
        <w:rPr>
          <w:sz w:val="20"/>
          <w:szCs w:val="20"/>
        </w:rPr>
        <w:t>Protonterapia</w:t>
      </w:r>
      <w:proofErr w:type="spellEnd"/>
      <w:r>
        <w:rPr>
          <w:sz w:val="20"/>
          <w:szCs w:val="20"/>
        </w:rPr>
        <w:t xml:space="preserve"> solo para tumores infantiles y ahora además células CAR-T”. “Es importante saber que aunque nada avanza tan rápido como queremos, el movimiento para la mejora debe ser incesante”, añadió.</w:t>
      </w:r>
    </w:p>
    <w:p w:rsidR="005467E5" w:rsidRDefault="005467E5">
      <w:pPr>
        <w:spacing w:after="0"/>
        <w:rPr>
          <w:sz w:val="20"/>
          <w:szCs w:val="20"/>
        </w:rPr>
      </w:pPr>
    </w:p>
    <w:p w:rsidR="005467E5" w:rsidRDefault="000E09F5">
      <w:pPr>
        <w:spacing w:after="0"/>
        <w:rPr>
          <w:sz w:val="20"/>
          <w:szCs w:val="20"/>
        </w:rPr>
      </w:pPr>
      <w:r>
        <w:rPr>
          <w:sz w:val="20"/>
          <w:szCs w:val="20"/>
        </w:rPr>
        <w:t>Como respuesta a otra de las preguntas de los asistentes, Barbacid declaró que “la investigación clínica en oncología en España es puntera pero que la financiación pública está fuera de rango y la ciencia no está en la agenda política de nadie, y nos tratan de engañar haciendo sinónimo de ciencia materias como la digitalización”.</w:t>
      </w:r>
    </w:p>
    <w:p w:rsidR="005467E5" w:rsidRDefault="005467E5">
      <w:pPr>
        <w:spacing w:after="0"/>
        <w:rPr>
          <w:sz w:val="20"/>
          <w:szCs w:val="20"/>
        </w:rPr>
      </w:pPr>
    </w:p>
    <w:p w:rsidR="005467E5" w:rsidRDefault="000E09F5">
      <w:pPr>
        <w:spacing w:after="0"/>
        <w:rPr>
          <w:sz w:val="20"/>
          <w:szCs w:val="20"/>
        </w:rPr>
      </w:pPr>
      <w:r>
        <w:rPr>
          <w:sz w:val="20"/>
          <w:szCs w:val="20"/>
        </w:rPr>
        <w:t>A la cuestión sobre la incidencia de factores endógenos como el estrés o la depresión en la aparición del cáncer, señaló que “no hay evidencias de que lo ocasione pero que esa situación puede debilitar el sistema inmune y quizás podría permitir el desequilibrio”. Para la detección precoz, destacó “dos formas de evitar: tener cuidado con los procesos crónicos y realizar las pruebas para una detección temprana de tumores externos”. Durante el acto, también se habló de la efectividad del uso de marcadores tumorales, a lo que el científico argumentó que “por el momento, la sensibilidad no es muy alta y ya es demasiado tarde”.</w:t>
      </w:r>
    </w:p>
    <w:p w:rsidR="005467E5" w:rsidRDefault="005467E5">
      <w:pPr>
        <w:spacing w:after="0"/>
        <w:rPr>
          <w:sz w:val="20"/>
          <w:szCs w:val="20"/>
        </w:rPr>
      </w:pPr>
    </w:p>
    <w:p w:rsidR="005467E5" w:rsidRDefault="000E09F5">
      <w:pPr>
        <w:spacing w:after="0"/>
        <w:rPr>
          <w:sz w:val="20"/>
          <w:szCs w:val="20"/>
        </w:rPr>
      </w:pPr>
      <w:r>
        <w:rPr>
          <w:sz w:val="20"/>
          <w:szCs w:val="20"/>
        </w:rPr>
        <w:t>Por último, el doctor respondió a la pregunta de si es dura la ida a EEUU señalando que “la verdadera dificultad es volver en condiciones adecuadas”.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67E5" w:rsidRPr="003F5E01" w:rsidRDefault="000E09F5" w:rsidP="003F5E01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Próximas citas nacionales e </w:t>
      </w:r>
      <w:proofErr w:type="spellStart"/>
      <w:r>
        <w:rPr>
          <w:b/>
          <w:sz w:val="20"/>
          <w:szCs w:val="20"/>
        </w:rPr>
        <w:t>internacionales</w:t>
      </w:r>
      <w:bookmarkStart w:id="2" w:name="_heading=h.pw0xj4grfaii" w:colFirst="0" w:colLast="0"/>
      <w:bookmarkEnd w:id="2"/>
      <w:r>
        <w:rPr>
          <w:sz w:val="20"/>
          <w:szCs w:val="20"/>
          <w:highlight w:val="white"/>
        </w:rPr>
        <w:t>El</w:t>
      </w:r>
      <w:proofErr w:type="spellEnd"/>
      <w:r>
        <w:rPr>
          <w:sz w:val="20"/>
          <w:szCs w:val="20"/>
          <w:highlight w:val="white"/>
        </w:rPr>
        <w:t xml:space="preserve"> testimonial, producido por Mediapro por iniciativa de la Fundación Hermanos Álvarez Quirós, </w:t>
      </w:r>
      <w:r>
        <w:rPr>
          <w:sz w:val="20"/>
          <w:szCs w:val="20"/>
        </w:rPr>
        <w:t xml:space="preserve">comenzó su gira en Chicago, en la sede del </w:t>
      </w:r>
      <w:r>
        <w:rPr>
          <w:b/>
          <w:sz w:val="20"/>
          <w:szCs w:val="20"/>
        </w:rPr>
        <w:t xml:space="preserve">Instituto Cervantes </w:t>
      </w:r>
      <w:r>
        <w:rPr>
          <w:sz w:val="20"/>
          <w:szCs w:val="20"/>
        </w:rPr>
        <w:t xml:space="preserve">de la ciudad el pasado 1 de junio, continuará su recorrido, tras esta parada en la localidad madrileña, el 28 de agosto en el </w:t>
      </w:r>
      <w:r>
        <w:rPr>
          <w:b/>
          <w:sz w:val="20"/>
          <w:szCs w:val="20"/>
        </w:rPr>
        <w:t>Instituto Cervantes en Estocolmo,</w:t>
      </w:r>
      <w:r>
        <w:rPr>
          <w:sz w:val="20"/>
          <w:szCs w:val="20"/>
        </w:rPr>
        <w:t xml:space="preserve"> donde la comunidad de científicos españoles en Suecia ha previsto un diálogo, sobre el valor del trabajo en el exterior de los científicos.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233D1E0" wp14:editId="39074B8D">
            <wp:simplePos x="0" y="0"/>
            <wp:positionH relativeFrom="column">
              <wp:posOffset>3590925</wp:posOffset>
            </wp:positionH>
            <wp:positionV relativeFrom="paragraph">
              <wp:posOffset>39058</wp:posOffset>
            </wp:positionV>
            <wp:extent cx="1676400" cy="2686050"/>
            <wp:effectExtent l="0" t="0" r="0" b="0"/>
            <wp:wrapSquare wrapText="bothSides" distT="0" distB="0" distL="114300" distR="114300"/>
            <wp:docPr id="1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t="1141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67E5" w:rsidRDefault="000E09F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Puedes ver el adelanto del documental </w:t>
      </w:r>
      <w:hyperlink r:id="rId11">
        <w:r>
          <w:rPr>
            <w:color w:val="0000FF"/>
            <w:sz w:val="20"/>
            <w:szCs w:val="20"/>
            <w:u w:val="single"/>
          </w:rPr>
          <w:t>aquí</w:t>
        </w:r>
      </w:hyperlink>
      <w:r>
        <w:rPr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67E5" w:rsidRDefault="005467E5">
      <w:pPr>
        <w:spacing w:before="280" w:after="280" w:line="240" w:lineRule="auto"/>
        <w:rPr>
          <w:sz w:val="20"/>
          <w:szCs w:val="20"/>
        </w:rPr>
      </w:pPr>
    </w:p>
    <w:p w:rsidR="005467E5" w:rsidRDefault="000E09F5">
      <w:pPr>
        <w:rPr>
          <w:b/>
          <w:sz w:val="18"/>
          <w:szCs w:val="18"/>
        </w:rPr>
      </w:pPr>
      <w:r>
        <w:rPr>
          <w:b/>
          <w:sz w:val="18"/>
          <w:szCs w:val="18"/>
        </w:rPr>
        <w:t>Sobre Fundación Hermanos Álvarez Quirós</w:t>
      </w:r>
    </w:p>
    <w:p w:rsidR="005467E5" w:rsidRDefault="000E09F5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Fundación Hermanos Álvarez Quirós se creó por voluntad de Carlos Álvarez Quirós, en 2017</w:t>
      </w:r>
      <w:r>
        <w:rPr>
          <w:sz w:val="18"/>
          <w:szCs w:val="18"/>
        </w:rPr>
        <w:t xml:space="preserve"> con la finalidad de 1) promover la</w:t>
      </w:r>
      <w:r>
        <w:rPr>
          <w:color w:val="000000"/>
          <w:sz w:val="18"/>
          <w:szCs w:val="18"/>
        </w:rPr>
        <w:t xml:space="preserve"> formación oncológica de jóvenes investigadores</w:t>
      </w:r>
      <w:r>
        <w:rPr>
          <w:sz w:val="18"/>
          <w:szCs w:val="18"/>
        </w:rPr>
        <w:t xml:space="preserve">, 2) apoyar </w:t>
      </w:r>
      <w:r>
        <w:rPr>
          <w:color w:val="000000"/>
          <w:sz w:val="18"/>
          <w:szCs w:val="18"/>
        </w:rPr>
        <w:t>proyectos de investigación oncológica integral en patologías que no ofrecen esperanza de curación a quien las padecen</w:t>
      </w:r>
      <w:r>
        <w:rPr>
          <w:sz w:val="18"/>
          <w:szCs w:val="18"/>
        </w:rPr>
        <w:t xml:space="preserve"> y</w:t>
      </w:r>
      <w:r>
        <w:rPr>
          <w:color w:val="000000"/>
          <w:sz w:val="18"/>
          <w:szCs w:val="18"/>
        </w:rPr>
        <w:t xml:space="preserve"> 3) fomentar la visión social de la investigación científica en el área del cáncer.</w:t>
      </w:r>
    </w:p>
    <w:p w:rsidR="005467E5" w:rsidRDefault="000E0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b/>
          <w:i/>
          <w:color w:val="000000"/>
          <w:sz w:val="17"/>
          <w:szCs w:val="17"/>
          <w:u w:val="single"/>
        </w:rPr>
        <w:t>Para más información</w:t>
      </w:r>
    </w:p>
    <w:p w:rsidR="005467E5" w:rsidRDefault="000E0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color w:val="000000"/>
          <w:sz w:val="17"/>
          <w:szCs w:val="17"/>
        </w:rPr>
        <w:t>Actitud de Comunicación</w:t>
      </w:r>
    </w:p>
    <w:p w:rsidR="005467E5" w:rsidRDefault="000E0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sz w:val="17"/>
          <w:szCs w:val="17"/>
        </w:rPr>
        <w:t>María Contenente</w:t>
      </w:r>
      <w:r>
        <w:rPr>
          <w:rFonts w:ascii="Helvetica Neue" w:eastAsia="Helvetica Neue" w:hAnsi="Helvetica Neue" w:cs="Helvetica Neue"/>
          <w:color w:val="000000"/>
          <w:sz w:val="17"/>
          <w:szCs w:val="17"/>
        </w:rPr>
        <w:t xml:space="preserve">/ </w:t>
      </w:r>
      <w:hyperlink r:id="rId12">
        <w:r>
          <w:rPr>
            <w:rFonts w:ascii="Helvetica Neue" w:eastAsia="Helvetica Neue" w:hAnsi="Helvetica Neue" w:cs="Helvetica Neue"/>
            <w:color w:val="0000FF"/>
            <w:sz w:val="17"/>
            <w:szCs w:val="17"/>
            <w:u w:val="single"/>
          </w:rPr>
          <w:t>maria.contenente@actitud.es</w:t>
        </w:r>
      </w:hyperlink>
    </w:p>
    <w:p w:rsidR="005467E5" w:rsidRDefault="000E09F5">
      <w:pPr>
        <w:rPr>
          <w:b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17"/>
          <w:szCs w:val="17"/>
        </w:rPr>
        <w:t>Teléfono: 9130228</w:t>
      </w:r>
      <w:r>
        <w:rPr>
          <w:rFonts w:ascii="Helvetica Neue" w:eastAsia="Helvetica Neue" w:hAnsi="Helvetica Neue" w:cs="Helvetica Neue"/>
          <w:color w:val="212121"/>
          <w:sz w:val="17"/>
          <w:szCs w:val="17"/>
        </w:rPr>
        <w:t>60</w:t>
      </w:r>
    </w:p>
    <w:sectPr w:rsidR="005467E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4D6"/>
    <w:multiLevelType w:val="multilevel"/>
    <w:tmpl w:val="482892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67E5"/>
    <w:rsid w:val="000E09F5"/>
    <w:rsid w:val="003F5E01"/>
    <w:rsid w:val="005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391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3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1B3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B3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51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391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3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1B3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B3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mailto:mirella.palafox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rmanosalvarezquiros.es/videos/TEASER-FHAQ.mp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rojLo/J1SVUIE2ByusYsrI+Fg==">CgMxLjAyCWguMzBqMHpsbDIOaC5wdzB4ajRncmZhaWk4AHIhMXRCMXdJX19yZjhkWldNZDk1eko5eEVIV2hqR1o0UTcz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2</cp:revision>
  <dcterms:created xsi:type="dcterms:W3CDTF">2023-07-26T12:26:00Z</dcterms:created>
  <dcterms:modified xsi:type="dcterms:W3CDTF">2023-07-26T12:26:00Z</dcterms:modified>
</cp:coreProperties>
</file>