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DF2E7" w14:textId="77777777" w:rsidR="009A09DD" w:rsidRDefault="009A09DD" w:rsidP="009A09DD">
      <w:pPr>
        <w:jc w:val="center"/>
        <w:rPr>
          <w:b/>
          <w:bCs/>
          <w:color w:val="FF8400"/>
          <w:sz w:val="32"/>
          <w:szCs w:val="26"/>
        </w:rPr>
      </w:pPr>
      <w:r>
        <w:rPr>
          <w:b/>
          <w:bCs/>
          <w:color w:val="FF8400"/>
          <w:sz w:val="32"/>
          <w:szCs w:val="26"/>
        </w:rPr>
        <w:t>Cómo superar las expectativas del cliente para impulsar las compañías, a debate en Digital CX Congress</w:t>
      </w:r>
    </w:p>
    <w:p w14:paraId="023FAFCA" w14:textId="77777777" w:rsidR="009A09DD" w:rsidRDefault="009A09DD" w:rsidP="009A09DD">
      <w:pPr>
        <w:pStyle w:val="Prrafodelista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</w:p>
    <w:p w14:paraId="60477EE5" w14:textId="77777777" w:rsidR="009A09DD" w:rsidRPr="009A09DD" w:rsidRDefault="009A09DD" w:rsidP="009A09DD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  <w:r w:rsidRPr="009A09D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Destacados directivos de Diageo, Sonae Sierra, </w:t>
      </w:r>
      <w:proofErr w:type="spellStart"/>
      <w:r w:rsidRPr="009A09D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Freshly</w:t>
      </w:r>
      <w:proofErr w:type="spellEnd"/>
      <w:r w:rsidRPr="009A09D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9A09D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Cosmetics</w:t>
      </w:r>
      <w:proofErr w:type="spellEnd"/>
      <w:r w:rsidRPr="009A09DD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o Sanitas debatirán sobre la necesidad de mejorar las interacciones con el cliente para entender sus necesidades, fidelizarle, ganarse su lealtad y diferenciarse.</w:t>
      </w:r>
    </w:p>
    <w:p w14:paraId="31DBFEF8" w14:textId="77777777" w:rsidR="009A09DD" w:rsidRPr="00230810" w:rsidRDefault="009A09DD" w:rsidP="009A09DD">
      <w:pPr>
        <w:pStyle w:val="Prrafodelista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</w:p>
    <w:p w14:paraId="5FD15086" w14:textId="77777777" w:rsidR="009A09DD" w:rsidRDefault="009A09DD" w:rsidP="009A09DD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Digital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CX Congress</w:t>
      </w: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, el encuentro profesional de referencia sobre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customer experience</w:t>
      </w:r>
      <w:r w:rsidRPr="0023081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se celebrará el 6 y 7 de octubre </w:t>
      </w:r>
      <w:r w:rsidRPr="000C38D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en un formato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100% digital con</w:t>
      </w:r>
      <w:r w:rsidRPr="000C38D0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ponencias, mesas de debate y casos de éxito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.</w:t>
      </w:r>
    </w:p>
    <w:p w14:paraId="7C0B1C1D" w14:textId="77777777" w:rsidR="009A09DD" w:rsidRPr="00230810" w:rsidRDefault="009A09DD" w:rsidP="009A09DD">
      <w:p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</w:pPr>
    </w:p>
    <w:p w14:paraId="51661B2C" w14:textId="6A8E7A09" w:rsidR="006B28FD" w:rsidRPr="00A56114" w:rsidRDefault="009A09DD" w:rsidP="009A09DD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22</w:t>
      </w:r>
      <w:r w:rsidRPr="008318B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septiembre</w:t>
      </w:r>
      <w:r w:rsidRPr="008318B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2021</w:t>
      </w:r>
      <w:r w:rsidRPr="008318B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 </w:t>
      </w: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evolución constante de los hábitos de consumo y la innovación impulsa a las compañías a superarse para cumplir con las expectativas de un usuario cada vez más exigente que espera de las marcas experiencias </w:t>
      </w:r>
      <w:r w:rsidR="006B28FD" w:rsidRPr="006B28F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omnicanales </w:t>
      </w: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únicas.  El acceso de los clientes a una cantidad infinita de información y oferta, así como sus interacciones vía múltiples canales, han puesto a su alcance un nuevo mundo de opciones, servicios, productos y diversas formas de interactuar con las marcas de forma dinámica. Y, como catalizador, la irrupción 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de la COVID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-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19</w:t>
      </w: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su impacto en diversos ámbitos que ya todos conocemos.</w:t>
      </w:r>
    </w:p>
    <w:p w14:paraId="3EAA4BFD" w14:textId="3EE05910" w:rsidR="006B28FD" w:rsidRPr="009A09DD" w:rsidRDefault="009A09DD" w:rsidP="009A09DD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Por ello, las empresas se han visto en la necesidad de desarrollar nuevas estrategias que buscan </w:t>
      </w:r>
      <w:r w:rsidR="006B28FD" w:rsidRPr="006B28F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mejorar sus interacciones con el cliente para lograr entender sus necesidades, fidelizarle,</w:t>
      </w:r>
      <w:r w:rsidR="006B28F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6B28FD" w:rsidRPr="006B28F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ganarse su lealtad y diferenciarse para seguir siendo competitivas</w:t>
      </w: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P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ara adaptarse y lograr la diferenciación en un entorno global y muy competitivo, es esencial</w:t>
      </w:r>
      <w:r w:rsidRPr="00A561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saber canalizar el cambio y operar bajo una perspectiva distinta que tenga al cliente en el centro de la estrategia en aras de 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revitalizarse y lograr los resultados esperados.</w:t>
      </w:r>
    </w:p>
    <w:p w14:paraId="7E1A0F58" w14:textId="67A4F560" w:rsidR="00CE0705" w:rsidRPr="006B28FD" w:rsidRDefault="009A09DD" w:rsidP="009A09DD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El valor estratégico de crear experiencias personalizadas para incrementar la conversión o cómo puede el social listening o el Marketing Automation ayudar a tu marca serán algunos de los temas que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se abordarán en la mesa de debate </w:t>
      </w:r>
      <w:r w:rsidRPr="00962AF0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‘Cómo lograr en el contexto actual superar las expectativas de nuestros clientes para impulsar nuestra compañía</w:t>
      </w:r>
      <w:r w:rsidRPr="00962AF0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’ 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que organiza Dir&amp;Ge en </w:t>
      </w:r>
      <w:hyperlink r:id="rId7" w:history="1">
        <w:r w:rsidRPr="00297054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u w:val="none"/>
            <w:lang w:eastAsia="es-ES"/>
          </w:rPr>
          <w:t>Digital CX Congress</w:t>
        </w:r>
      </w:hyperlink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el encuentro profesional de referencia sobre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experiencia de cliente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que se celebrará los días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6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7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octubre</w:t>
      </w:r>
      <w:r w:rsidRPr="00962AF0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en formato 100% digital.</w:t>
      </w:r>
      <w:bookmarkStart w:id="0" w:name="_GoBack"/>
      <w:bookmarkEnd w:id="0"/>
    </w:p>
    <w:p w14:paraId="054854ED" w14:textId="3A2A55BA" w:rsidR="009A09DD" w:rsidRDefault="009A09DD" w:rsidP="009A09DD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Contaremos con la 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participación de Úrsula Mejía, Marketing Director </w:t>
      </w:r>
      <w:proofErr w:type="spellStart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Southern</w:t>
      </w:r>
      <w:proofErr w:type="spellEnd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proofErr w:type="spellStart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Europe</w:t>
      </w:r>
      <w:proofErr w:type="spellEnd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Diageo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Javier Losada, Director de Marketing Omnicanal de </w:t>
      </w:r>
      <w:proofErr w:type="spellStart"/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Forum</w:t>
      </w:r>
      <w:proofErr w:type="spellEnd"/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Sport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María </w:t>
      </w:r>
      <w:proofErr w:type="spellStart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Borràs</w:t>
      </w:r>
      <w:proofErr w:type="spellEnd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Marketing Manager de </w:t>
      </w:r>
      <w:proofErr w:type="spellStart"/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Freshly</w:t>
      </w:r>
      <w:proofErr w:type="spellEnd"/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</w:t>
      </w:r>
      <w:proofErr w:type="spellStart"/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Cosmetics</w:t>
      </w:r>
      <w:proofErr w:type="spellEnd"/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María José García, Country Leasing Manager Spain de </w:t>
      </w:r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Sonae Sierra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Marta Núñez, Directora de Clientes de </w:t>
      </w:r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Sanitas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estará moderada por el Director de Soluciones Digitales de </w:t>
      </w:r>
      <w:r w:rsidRPr="009A09D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ESIC Corporate Education</w:t>
      </w:r>
      <w:r w:rsidRPr="009A09D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José María Macías.</w:t>
      </w:r>
    </w:p>
    <w:p w14:paraId="0E099244" w14:textId="58C794ED" w:rsidR="006B28FD" w:rsidRDefault="00417DEF" w:rsidP="009A09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lastRenderedPageBreak/>
        <w:t xml:space="preserve">En el nuevo contexto, las diferencias competitivas que una empresa tiene respecto a su competencia dentro de un mismo mercado relativas al liderazgo en costes o capacidad productiva y de distribución, entre otras, </w:t>
      </w:r>
      <w:r w:rsidRPr="00644DAA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se han estandarizado y ahora son fácilmente accesibles para cualquier compañía.  </w:t>
      </w:r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Sin duda, las cosas están cambiando… </w:t>
      </w:r>
      <w:r w:rsidR="006F6A60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</w:t>
      </w:r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l uso de </w:t>
      </w:r>
      <w:proofErr w:type="spellStart"/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big</w:t>
      </w:r>
      <w:proofErr w:type="spellEnd"/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data en el análisis de clientes, de la inteligencia artificial en los </w:t>
      </w:r>
      <w:proofErr w:type="spellStart"/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contact</w:t>
      </w:r>
      <w:proofErr w:type="spellEnd"/>
      <w:r w:rsidR="00F56E51" w:rsidRP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center y el comercio electrónico, o el Machine Learning en la identificación y análisis de las emociones, ya empieza a generalizarse. No podemos quedarnos atrás</w:t>
      </w:r>
      <w:r w:rsid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y por ello el </w:t>
      </w:r>
      <w:r w:rsidRPr="00644DAA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CX </w:t>
      </w:r>
      <w:r w:rsidR="00F56E5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debe centrarse en </w:t>
      </w:r>
      <w:r w:rsidRPr="00644DAA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proporcionar valor real más allá del producto y del precio, </w:t>
      </w:r>
      <w:r w:rsidRPr="00A26FFC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generando </w:t>
      </w:r>
      <w:r w:rsidRPr="00644DAA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rentabilidad y diferenciación</w:t>
      </w:r>
      <w:r w:rsidRPr="00A26FFC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y superando las expectativas del cliente.</w:t>
      </w:r>
    </w:p>
    <w:p w14:paraId="5E73277C" w14:textId="77777777" w:rsidR="009A09DD" w:rsidRPr="009A09DD" w:rsidRDefault="009A09DD" w:rsidP="009A09DD">
      <w:pPr>
        <w:rPr>
          <w:rFonts w:eastAsia="Times New Roman" w:cstheme="minorHAnsi"/>
          <w:b/>
          <w:bCs/>
          <w:color w:val="FF8400"/>
          <w:sz w:val="24"/>
          <w:szCs w:val="24"/>
          <w:u w:val="single"/>
          <w:lang w:eastAsia="es-ES"/>
        </w:rPr>
      </w:pPr>
      <w:r w:rsidRPr="009A09DD">
        <w:rPr>
          <w:rFonts w:eastAsia="Times New Roman" w:cstheme="minorHAnsi"/>
          <w:b/>
          <w:bCs/>
          <w:color w:val="FF8400"/>
          <w:sz w:val="24"/>
          <w:szCs w:val="24"/>
          <w:u w:val="single"/>
          <w:lang w:eastAsia="es-ES"/>
        </w:rPr>
        <w:t>Claves estratégicas y tendencias de éxito</w:t>
      </w:r>
    </w:p>
    <w:p w14:paraId="02BE96BE" w14:textId="4B21E0F9" w:rsidR="009A09DD" w:rsidRPr="00336421" w:rsidRDefault="009A09DD" w:rsidP="009A09DD">
      <w:pPr>
        <w:jc w:val="both"/>
        <w:rPr>
          <w:rFonts w:cstheme="minorHAnsi"/>
          <w:sz w:val="24"/>
          <w:szCs w:val="24"/>
        </w:rPr>
      </w:pPr>
      <w:r w:rsidRPr="009A09DD">
        <w:rPr>
          <w:rFonts w:cstheme="minorHAnsi"/>
          <w:sz w:val="24"/>
          <w:szCs w:val="24"/>
        </w:rPr>
        <w:t xml:space="preserve">Además de dos mesas de debate, Digital CX Congress ofrece a lo largo de la jornada ponencias, casos de éxito y workshops y la participación de profesionales y marcas destacadas como </w:t>
      </w:r>
      <w:r w:rsidRPr="009A09DD">
        <w:rPr>
          <w:rFonts w:cstheme="minorHAnsi"/>
          <w:b/>
          <w:bCs/>
          <w:sz w:val="24"/>
          <w:szCs w:val="24"/>
        </w:rPr>
        <w:t xml:space="preserve">Ikea, Unilever, ManoMano, Volkswagen </w:t>
      </w:r>
      <w:r w:rsidRPr="009A09DD">
        <w:rPr>
          <w:rFonts w:cstheme="minorHAnsi"/>
          <w:sz w:val="24"/>
          <w:szCs w:val="24"/>
        </w:rPr>
        <w:t>o</w:t>
      </w:r>
      <w:r w:rsidRPr="009A09DD">
        <w:rPr>
          <w:rFonts w:cstheme="minorHAnsi"/>
          <w:b/>
          <w:bCs/>
          <w:sz w:val="24"/>
          <w:szCs w:val="24"/>
        </w:rPr>
        <w:t xml:space="preserve"> ManoMano</w:t>
      </w:r>
      <w:r w:rsidRPr="009A09DD">
        <w:rPr>
          <w:rFonts w:cstheme="minorHAnsi"/>
          <w:sz w:val="24"/>
          <w:szCs w:val="24"/>
        </w:rPr>
        <w:t>, entre otras, que compartirán sus experiencias y best practices para reforzar la relación con el consumidor y lograr aumentar las conversiones</w:t>
      </w:r>
      <w:r w:rsidRPr="00962AF0">
        <w:rPr>
          <w:rFonts w:cstheme="minorHAnsi"/>
          <w:sz w:val="24"/>
          <w:szCs w:val="24"/>
        </w:rPr>
        <w:t>.</w:t>
      </w:r>
    </w:p>
    <w:p w14:paraId="64A9B091" w14:textId="5A8AFED3" w:rsidR="009A09DD" w:rsidRPr="00B2037B" w:rsidRDefault="009A09DD" w:rsidP="009A09DD">
      <w:pPr>
        <w:shd w:val="clear" w:color="auto" w:fill="FFFFFF"/>
        <w:spacing w:line="207" w:lineRule="atLeast"/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bookmarkStart w:id="1" w:name="_Hlk68539885"/>
      <w:r w:rsidRPr="00B2037B"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Digital CX Congress 2021 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cuenta con el impulso de </w:t>
      </w:r>
      <w:hyperlink r:id="rId8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Oracle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9" w:history="1"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MicroStrategy</w:t>
        </w:r>
        <w:proofErr w:type="spellEnd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. Intelligence </w:t>
        </w:r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Everywhere</w:t>
        </w:r>
        <w:proofErr w:type="spellEnd"/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10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Zendesk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11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Klarna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12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ESIC</w:t>
        </w:r>
      </w:hyperlink>
      <w:r w:rsidRPr="00B2037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>,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13" w:history="1">
        <w:proofErr w:type="spellStart"/>
        <w:r w:rsidRPr="00B2037B">
          <w:rPr>
            <w:rStyle w:val="Hipervnculo"/>
            <w:color w:val="ED7D31" w:themeColor="accent2"/>
            <w:sz w:val="24"/>
            <w:szCs w:val="24"/>
            <w:u w:val="none"/>
          </w:rPr>
          <w:t>Inbenta</w:t>
        </w:r>
        <w:proofErr w:type="spellEnd"/>
      </w:hyperlink>
      <w:r>
        <w:rPr>
          <w:color w:val="ED7D31" w:themeColor="accent2"/>
          <w:sz w:val="24"/>
          <w:szCs w:val="24"/>
        </w:rPr>
        <w:t xml:space="preserve">, </w:t>
      </w:r>
      <w:hyperlink r:id="rId14" w:history="1">
        <w:proofErr w:type="spellStart"/>
        <w:r w:rsidRPr="00B51535">
          <w:rPr>
            <w:rStyle w:val="Hipervnculo"/>
            <w:color w:val="ED7D31" w:themeColor="accent2"/>
            <w:sz w:val="24"/>
            <w:szCs w:val="24"/>
          </w:rPr>
          <w:t>Masvoz</w:t>
        </w:r>
        <w:proofErr w:type="spellEnd"/>
      </w:hyperlink>
      <w:r>
        <w:rPr>
          <w:color w:val="ED7D31" w:themeColor="accent2"/>
          <w:sz w:val="24"/>
          <w:szCs w:val="24"/>
        </w:rPr>
        <w:t xml:space="preserve">, </w:t>
      </w:r>
      <w:hyperlink r:id="rId15" w:history="1">
        <w:r w:rsidRPr="009A09DD">
          <w:rPr>
            <w:rStyle w:val="Hipervnculo"/>
            <w:color w:val="ED7D31" w:themeColor="accent2"/>
            <w:sz w:val="24"/>
            <w:szCs w:val="24"/>
            <w:u w:val="none"/>
          </w:rPr>
          <w:t>SAP</w:t>
        </w:r>
      </w:hyperlink>
      <w:r w:rsidRPr="009A09DD">
        <w:rPr>
          <w:color w:val="ED7D31" w:themeColor="accent2"/>
          <w:sz w:val="24"/>
          <w:szCs w:val="24"/>
        </w:rPr>
        <w:t xml:space="preserve"> </w:t>
      </w:r>
      <w:r w:rsidRPr="00B2037B">
        <w:rPr>
          <w:rStyle w:val="Hipervnculo"/>
          <w:rFonts w:eastAsia="Times New Roman" w:cstheme="minorHAnsi"/>
          <w:color w:val="auto"/>
          <w:sz w:val="24"/>
          <w:szCs w:val="24"/>
          <w:u w:val="none"/>
          <w:lang w:eastAsia="es-ES"/>
        </w:rPr>
        <w:t>e</w:t>
      </w:r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16" w:history="1"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Infobip</w:t>
        </w:r>
        <w:proofErr w:type="spellEnd"/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; </w:t>
      </w:r>
      <w:hyperlink r:id="rId17" w:history="1"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Eventtia</w:t>
        </w:r>
        <w:proofErr w:type="spellEnd"/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Partner Tecnológico; </w:t>
      </w:r>
      <w:hyperlink r:id="rId18" w:history="1">
        <w:proofErr w:type="spellStart"/>
        <w:r w:rsidRPr="00FD5D6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Semrush</w:t>
        </w:r>
        <w:proofErr w:type="spellEnd"/>
      </w:hyperlink>
      <w:r w:rsidRPr="00FD5D6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FD5D6B">
        <w:rPr>
          <w:rFonts w:eastAsia="Times New Roman" w:cstheme="minorHAnsi"/>
          <w:sz w:val="24"/>
          <w:szCs w:val="24"/>
          <w:lang w:eastAsia="es-ES"/>
        </w:rPr>
        <w:t>como Sponsor</w:t>
      </w:r>
      <w:r>
        <w:rPr>
          <w:rFonts w:eastAsia="Times New Roman" w:cstheme="minorHAnsi"/>
          <w:sz w:val="24"/>
          <w:szCs w:val="24"/>
          <w:lang w:eastAsia="es-ES"/>
        </w:rPr>
        <w:t>;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 colaboración de </w:t>
      </w:r>
      <w:hyperlink r:id="rId19" w:tgtFrame="_blank" w:history="1">
        <w:r w:rsidRPr="00B2037B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B2037B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20" w:history="1">
        <w:r w:rsidRPr="00986554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Smartbox Business Solutions</w:t>
        </w:r>
      </w:hyperlink>
      <w:r w:rsidRPr="00986554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Experience Partner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; </w:t>
      </w:r>
      <w:hyperlink r:id="rId21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lang w:eastAsia="es-ES"/>
          </w:rPr>
          <w:t>Birchbox</w:t>
        </w:r>
        <w:proofErr w:type="spellEnd"/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Gift</w:t>
      </w:r>
      <w:proofErr w:type="spellEnd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Partner</w:t>
      </w:r>
      <w:r>
        <w:t xml:space="preserve">; </w:t>
      </w:r>
      <w:hyperlink r:id="rId22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Cyberclick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Agencia Oficial de Marketing Digital; </w:t>
      </w:r>
      <w:hyperlink r:id="rId23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Asociación de Marketing de España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24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 xml:space="preserve">Urban </w:t>
        </w:r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Event</w:t>
        </w:r>
        <w:proofErr w:type="spellEnd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 xml:space="preserve"> Marketing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25" w:history="1">
        <w:proofErr w:type="spellStart"/>
        <w:r w:rsidRPr="0026045F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OpenExpo</w:t>
        </w:r>
        <w:proofErr w:type="spellEnd"/>
        <w:r w:rsidRPr="0026045F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 </w:t>
        </w:r>
        <w:proofErr w:type="spellStart"/>
        <w:r w:rsidRPr="0026045F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Europe</w:t>
        </w:r>
        <w:proofErr w:type="spellEnd"/>
      </w:hyperlink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26" w:history="1">
        <w:r w:rsidRPr="00AA1759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EDVE</w:t>
        </w:r>
      </w:hyperlink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27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Ediciones Pirámide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B2037B">
        <w:rPr>
          <w:rStyle w:val="Hipervnculo"/>
          <w:rFonts w:eastAsia="Times New Roman" w:cstheme="minorHAnsi"/>
          <w:color w:val="auto"/>
          <w:sz w:val="24"/>
          <w:szCs w:val="24"/>
          <w:u w:val="none"/>
          <w:lang w:eastAsia="es-ES"/>
        </w:rPr>
        <w:t>y</w:t>
      </w:r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28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Anaya Multimedia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entidades colaboradoras y </w:t>
      </w:r>
      <w:hyperlink r:id="rId29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América Retail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0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Control Publicidad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1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Dirigentes Digital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2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Esencia de Marketing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33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Factoría del Futuro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4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Hi Retail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5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Interactiva Digital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6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La Publicidad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7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LataMarTech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8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Just Retail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9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Marketing </w:t>
        </w:r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Insider</w:t>
        </w:r>
        <w:proofErr w:type="spellEnd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 </w:t>
        </w:r>
        <w:proofErr w:type="spellStart"/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Review</w:t>
        </w:r>
        <w:proofErr w:type="spellEnd"/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40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Novologística.com</w:t>
        </w:r>
      </w:hyperlink>
      <w:r w:rsidRPr="00B2037B">
        <w:rPr>
          <w:rStyle w:val="Hipervnculo"/>
          <w:rFonts w:eastAsia="Times New Roman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41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Parada Visual</w:t>
        </w:r>
      </w:hyperlink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, </w:t>
      </w:r>
      <w:hyperlink r:id="rId42" w:history="1">
        <w:r w:rsidRPr="00B2037B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Retail Actual</w:t>
        </w:r>
      </w:hyperlink>
      <w:r w:rsidRPr="00B2037B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>,</w:t>
      </w:r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media </w:t>
      </w:r>
      <w:proofErr w:type="spellStart"/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>partners</w:t>
      </w:r>
      <w:proofErr w:type="spellEnd"/>
      <w:r w:rsidRPr="00B2037B"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bookmarkEnd w:id="1"/>
    <w:p w14:paraId="5CE797B3" w14:textId="77777777" w:rsidR="009A09DD" w:rsidRPr="00336421" w:rsidRDefault="009A09DD" w:rsidP="009A09DD">
      <w:pPr>
        <w:shd w:val="clear" w:color="auto" w:fill="FFFFFF"/>
        <w:spacing w:line="207" w:lineRule="atLeast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</w:pPr>
    </w:p>
    <w:p w14:paraId="3BB38385" w14:textId="77777777" w:rsidR="009A09DD" w:rsidRPr="00BF2715" w:rsidRDefault="009A09DD" w:rsidP="009A09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BF271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Digital CX Congress 2021. Claves estratégicas y tendencias de éxito</w:t>
      </w:r>
    </w:p>
    <w:p w14:paraId="70C968D2" w14:textId="77777777" w:rsidR="009A09DD" w:rsidRPr="00BF2715" w:rsidRDefault="009A09DD" w:rsidP="009A09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79C72284" w14:textId="77777777" w:rsidR="009A09DD" w:rsidRPr="00BF2715" w:rsidRDefault="009A09DD" w:rsidP="009A09DD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BF271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Web del encuentro y registros: </w:t>
      </w:r>
      <w:hyperlink r:id="rId43" w:history="1">
        <w:r w:rsidRPr="00BF2715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https://cxcongress.com/</w:t>
        </w:r>
      </w:hyperlink>
    </w:p>
    <w:p w14:paraId="67842740" w14:textId="77777777" w:rsidR="009A09DD" w:rsidRDefault="009A09DD" w:rsidP="009A09DD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</w:p>
    <w:p w14:paraId="53E2A17C" w14:textId="77777777" w:rsidR="009A09DD" w:rsidRDefault="009A09DD" w:rsidP="009A09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3859E6B7" w14:textId="77777777" w:rsidR="009A09DD" w:rsidRDefault="009A09DD" w:rsidP="009A09DD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  <w:r w:rsidRPr="00A93B24">
        <w:rPr>
          <w:b/>
          <w:bCs/>
          <w:color w:val="FF8400"/>
          <w:sz w:val="24"/>
          <w:szCs w:val="24"/>
          <w:u w:val="single"/>
        </w:rPr>
        <w:t>Sobre Dir&amp;Ge</w:t>
      </w:r>
    </w:p>
    <w:p w14:paraId="6BF4DE0F" w14:textId="77777777" w:rsidR="009A09DD" w:rsidRPr="00A93B24" w:rsidRDefault="009A09DD" w:rsidP="009A09DD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</w:p>
    <w:p w14:paraId="2BF7CEA6" w14:textId="77777777" w:rsidR="009A09DD" w:rsidRPr="00C253AA" w:rsidRDefault="00BD4396" w:rsidP="009A09DD">
      <w:pPr>
        <w:spacing w:after="0"/>
        <w:jc w:val="both"/>
        <w:rPr>
          <w:sz w:val="24"/>
          <w:szCs w:val="24"/>
        </w:rPr>
      </w:pPr>
      <w:hyperlink r:id="rId44" w:history="1">
        <w:r w:rsidR="009A09DD" w:rsidRPr="00A93B24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="009A09DD" w:rsidRPr="00A93B24">
        <w:rPr>
          <w:sz w:val="24"/>
          <w:szCs w:val="24"/>
        </w:rPr>
        <w:t xml:space="preserve"> es la plataforma líder del entorno directivo. Ofrece a los </w:t>
      </w:r>
      <w:r w:rsidR="009A09DD" w:rsidRPr="00A93B24">
        <w:rPr>
          <w:i/>
          <w:iCs/>
          <w:sz w:val="24"/>
          <w:szCs w:val="24"/>
        </w:rPr>
        <w:t>decision makers</w:t>
      </w:r>
      <w:r w:rsidR="009A09DD" w:rsidRPr="00A93B24">
        <w:rPr>
          <w:sz w:val="24"/>
          <w:szCs w:val="24"/>
        </w:rPr>
        <w:t xml:space="preserve"> de las compañías los mejores contenidos empresariales, encuentros B2B exclusivos y las </w:t>
      </w:r>
      <w:r w:rsidR="009A09DD" w:rsidRPr="00A93B24">
        <w:rPr>
          <w:i/>
          <w:iCs/>
          <w:sz w:val="24"/>
          <w:szCs w:val="24"/>
        </w:rPr>
        <w:t>best practices</w:t>
      </w:r>
      <w:r w:rsidR="009A09DD" w:rsidRPr="00A93B24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5CBF910B" w14:textId="77777777" w:rsidR="009A09DD" w:rsidRDefault="009A09DD" w:rsidP="009A09DD"/>
    <w:p w14:paraId="102E7F87" w14:textId="77777777" w:rsidR="001154E1" w:rsidRDefault="001154E1"/>
    <w:sectPr w:rsidR="001154E1">
      <w:headerReference w:type="default" r:id="rId4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C531B" w14:textId="77777777" w:rsidR="00BD4396" w:rsidRDefault="00BD4396" w:rsidP="009A09DD">
      <w:pPr>
        <w:spacing w:after="0" w:line="240" w:lineRule="auto"/>
      </w:pPr>
      <w:r>
        <w:separator/>
      </w:r>
    </w:p>
  </w:endnote>
  <w:endnote w:type="continuationSeparator" w:id="0">
    <w:p w14:paraId="7E6AF92B" w14:textId="77777777" w:rsidR="00BD4396" w:rsidRDefault="00BD4396" w:rsidP="009A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A48C8" w14:textId="77777777" w:rsidR="00BD4396" w:rsidRDefault="00BD4396" w:rsidP="009A09DD">
      <w:pPr>
        <w:spacing w:after="0" w:line="240" w:lineRule="auto"/>
      </w:pPr>
      <w:r>
        <w:separator/>
      </w:r>
    </w:p>
  </w:footnote>
  <w:footnote w:type="continuationSeparator" w:id="0">
    <w:p w14:paraId="3D6D2C37" w14:textId="77777777" w:rsidR="00BD4396" w:rsidRDefault="00BD4396" w:rsidP="009A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4DB3" w14:textId="7AAD4AED" w:rsidR="009A09DD" w:rsidRDefault="009A09D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2057B0" wp14:editId="03CB5373">
          <wp:simplePos x="0" y="0"/>
          <wp:positionH relativeFrom="margin">
            <wp:posOffset>5044440</wp:posOffset>
          </wp:positionH>
          <wp:positionV relativeFrom="paragraph">
            <wp:posOffset>-335915</wp:posOffset>
          </wp:positionV>
          <wp:extent cx="1333575" cy="7868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75" cy="78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64B14"/>
    <w:multiLevelType w:val="hybridMultilevel"/>
    <w:tmpl w:val="28A465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49F9"/>
    <w:multiLevelType w:val="hybridMultilevel"/>
    <w:tmpl w:val="21B0DF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3FB5"/>
    <w:multiLevelType w:val="hybridMultilevel"/>
    <w:tmpl w:val="777AFA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03"/>
    <w:rsid w:val="000F5C1A"/>
    <w:rsid w:val="001154E1"/>
    <w:rsid w:val="00417DEF"/>
    <w:rsid w:val="006B28FD"/>
    <w:rsid w:val="006F6A60"/>
    <w:rsid w:val="009A09DD"/>
    <w:rsid w:val="00A96E49"/>
    <w:rsid w:val="00BD4396"/>
    <w:rsid w:val="00CE0705"/>
    <w:rsid w:val="00DE2103"/>
    <w:rsid w:val="00EA7DE8"/>
    <w:rsid w:val="00F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B90"/>
  <w15:chartTrackingRefBased/>
  <w15:docId w15:val="{24A2E67B-0F04-4FA5-8960-DBFCDAC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9DD"/>
  </w:style>
  <w:style w:type="paragraph" w:styleId="Piedepgina">
    <w:name w:val="footer"/>
    <w:basedOn w:val="Normal"/>
    <w:link w:val="PiedepginaCar"/>
    <w:uiPriority w:val="99"/>
    <w:unhideWhenUsed/>
    <w:rsid w:val="009A0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9DD"/>
  </w:style>
  <w:style w:type="paragraph" w:styleId="Prrafodelista">
    <w:name w:val="List Paragraph"/>
    <w:basedOn w:val="Normal"/>
    <w:uiPriority w:val="34"/>
    <w:qFormat/>
    <w:rsid w:val="009A09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09D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benta.com/es/" TargetMode="External"/><Relationship Id="rId18" Type="http://schemas.openxmlformats.org/officeDocument/2006/relationships/hyperlink" Target="https://es.semrush.com/" TargetMode="External"/><Relationship Id="rId26" Type="http://schemas.openxmlformats.org/officeDocument/2006/relationships/hyperlink" Target="https://escueladeventas.org/edve/" TargetMode="External"/><Relationship Id="rId39" Type="http://schemas.openxmlformats.org/officeDocument/2006/relationships/hyperlink" Target="https://www.marketinginsiderreview.com/" TargetMode="External"/><Relationship Id="rId21" Type="http://schemas.openxmlformats.org/officeDocument/2006/relationships/hyperlink" Target="https://www.birchbox.es/" TargetMode="External"/><Relationship Id="rId34" Type="http://schemas.openxmlformats.org/officeDocument/2006/relationships/hyperlink" Target="https://hiretail.es/" TargetMode="External"/><Relationship Id="rId42" Type="http://schemas.openxmlformats.org/officeDocument/2006/relationships/hyperlink" Target="https://www.retailactual.com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cxcong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bip.com/es/" TargetMode="External"/><Relationship Id="rId29" Type="http://schemas.openxmlformats.org/officeDocument/2006/relationships/hyperlink" Target="https://www.america-retai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rna.com/es/" TargetMode="External"/><Relationship Id="rId24" Type="http://schemas.openxmlformats.org/officeDocument/2006/relationships/hyperlink" Target="https://urbaneventmarketing.com/" TargetMode="External"/><Relationship Id="rId32" Type="http://schemas.openxmlformats.org/officeDocument/2006/relationships/hyperlink" Target="https://esenciademarketing.es/" TargetMode="External"/><Relationship Id="rId37" Type="http://schemas.openxmlformats.org/officeDocument/2006/relationships/hyperlink" Target="https://latamartech.com/" TargetMode="External"/><Relationship Id="rId40" Type="http://schemas.openxmlformats.org/officeDocument/2006/relationships/hyperlink" Target="https://novologistica.com/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ap.com/index.html" TargetMode="External"/><Relationship Id="rId23" Type="http://schemas.openxmlformats.org/officeDocument/2006/relationships/hyperlink" Target="https://www.asociacionmkt.es/" TargetMode="External"/><Relationship Id="rId28" Type="http://schemas.openxmlformats.org/officeDocument/2006/relationships/hyperlink" Target="https://www.anayamultimedia.es/" TargetMode="External"/><Relationship Id="rId36" Type="http://schemas.openxmlformats.org/officeDocument/2006/relationships/hyperlink" Target="https://lapublicidad.net/" TargetMode="External"/><Relationship Id="rId10" Type="http://schemas.openxmlformats.org/officeDocument/2006/relationships/hyperlink" Target="https://www.zendesk.es/" TargetMode="External"/><Relationship Id="rId19" Type="http://schemas.openxmlformats.org/officeDocument/2006/relationships/hyperlink" Target="https://actitud.es/es/" TargetMode="External"/><Relationship Id="rId31" Type="http://schemas.openxmlformats.org/officeDocument/2006/relationships/hyperlink" Target="https://dirigentesdigital.com/" TargetMode="External"/><Relationship Id="rId44" Type="http://schemas.openxmlformats.org/officeDocument/2006/relationships/hyperlink" Target="https://b2b.directivosygerente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trategy.com/es" TargetMode="External"/><Relationship Id="rId14" Type="http://schemas.openxmlformats.org/officeDocument/2006/relationships/hyperlink" Target="https://www.masvoz.es/" TargetMode="External"/><Relationship Id="rId22" Type="http://schemas.openxmlformats.org/officeDocument/2006/relationships/hyperlink" Target="https://www.cyberclick.es/" TargetMode="External"/><Relationship Id="rId27" Type="http://schemas.openxmlformats.org/officeDocument/2006/relationships/hyperlink" Target="https://www.edicionespiramide.es/" TargetMode="External"/><Relationship Id="rId30" Type="http://schemas.openxmlformats.org/officeDocument/2006/relationships/hyperlink" Target="https://controlpublicidad.com/" TargetMode="External"/><Relationship Id="rId35" Type="http://schemas.openxmlformats.org/officeDocument/2006/relationships/hyperlink" Target="https://interactivadigital.com/" TargetMode="External"/><Relationship Id="rId43" Type="http://schemas.openxmlformats.org/officeDocument/2006/relationships/hyperlink" Target="https://cxcongress.com/" TargetMode="External"/><Relationship Id="rId8" Type="http://schemas.openxmlformats.org/officeDocument/2006/relationships/hyperlink" Target="https://www.oracle.com/e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sic.edu/corporate-education-formacion-empresas" TargetMode="External"/><Relationship Id="rId17" Type="http://schemas.openxmlformats.org/officeDocument/2006/relationships/hyperlink" Target="https://www.eventtia.com/es/inicio" TargetMode="External"/><Relationship Id="rId25" Type="http://schemas.openxmlformats.org/officeDocument/2006/relationships/hyperlink" Target="https://openexpoeurope.com/es/" TargetMode="External"/><Relationship Id="rId33" Type="http://schemas.openxmlformats.org/officeDocument/2006/relationships/hyperlink" Target="https://www.factoriadelfuturo.com/" TargetMode="External"/><Relationship Id="rId38" Type="http://schemas.openxmlformats.org/officeDocument/2006/relationships/hyperlink" Target="https://www.justretail.news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martbox.com/es/smartbox-promociones-para-empresas/" TargetMode="External"/><Relationship Id="rId41" Type="http://schemas.openxmlformats.org/officeDocument/2006/relationships/hyperlink" Target="https://www.paradavisu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1065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User</cp:lastModifiedBy>
  <cp:revision>10</cp:revision>
  <dcterms:created xsi:type="dcterms:W3CDTF">2021-09-21T07:00:00Z</dcterms:created>
  <dcterms:modified xsi:type="dcterms:W3CDTF">2021-09-21T08:04:00Z</dcterms:modified>
</cp:coreProperties>
</file>