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i w:val="1"/>
          <w:sz w:val="24"/>
          <w:szCs w:val="24"/>
        </w:rPr>
      </w:pPr>
      <w:hyperlink r:id="rId7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ofrece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Consejos para ahorrar con el cambio de hora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</w:rPr>
        <w:drawing>
          <wp:inline distB="114300" distT="114300" distL="114300" distR="114300">
            <wp:extent cx="2962604" cy="1969844"/>
            <wp:effectExtent b="0" l="0" r="0" t="0"/>
            <wp:docPr id="5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604" cy="1969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left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Aprovechar la luz natural, utilizar bombillas LED u optimizar el uso de electrodomésticos son algunas de las opciones para reducir el consumo de energía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240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Del 31 de marzo al 6 de abril, 123tinta.es ofrece un 10% de descuento en bombillas LED para maximizar el ahorro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25 de marzo de 2025 </w:t>
      </w:r>
      <w:r w:rsidDel="00000000" w:rsidR="00000000" w:rsidRPr="00000000">
        <w:rPr>
          <w:sz w:val="24"/>
          <w:szCs w:val="24"/>
          <w:rtl w:val="0"/>
        </w:rPr>
        <w:t xml:space="preserve">- España está a punto de dar la bienvenida al horario de verano. Este fin de semana, como cada año a finales de marzo, se procede al habitual cambio de hora, adelantando los relojes. Así, en la madrugada del domingo 30 de marzo, los relojes pasarán de las 2:00 a las 3:00, lo que permitirá disfrutar de más horas de luz natural durante la tarde. Este ajuste es el momento perfecto para adoptar nuevos hábitos que ayuden a reducir el consumo de energía en el hogar. 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Aprovechar este cambio de hora además de beneficiar al medio ambiente, puede ayudar a reducir significativamente las facturas de electricidad. Para ello, 123tinta.es, </w:t>
      </w: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rtl w:val="0"/>
        </w:rPr>
        <w:t xml:space="preserve">ecommerce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toner</w:t>
        </w:r>
      </w:hyperlink>
      <w:r w:rsidDel="00000000" w:rsidR="00000000" w:rsidRPr="00000000">
        <w:rPr>
          <w:sz w:val="24"/>
          <w:szCs w:val="24"/>
          <w:rtl w:val="0"/>
        </w:rPr>
        <w:t xml:space="preserve">, ofrece consejos para mejorar la eficiencia energética en el hogar.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Consejos para ahorrar energía con el cambio de hora: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Aprovechar la luz natural: </w:t>
      </w:r>
      <w:r w:rsidDel="00000000" w:rsidR="00000000" w:rsidRPr="00000000">
        <w:rPr>
          <w:sz w:val="24"/>
          <w:szCs w:val="24"/>
          <w:rtl w:val="0"/>
        </w:rPr>
        <w:t xml:space="preserve">Con más horas de luz natural, es el momento perfecto para reducir el consumo de la iluminación artificial. Reorganizar los espacios del hogar para aprovechar mejor la luz natural ayudará a reducir el uso de electricidad.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Desenchufar los aparatos que no se utilicen:</w:t>
      </w:r>
      <w:r w:rsidDel="00000000" w:rsidR="00000000" w:rsidRPr="00000000">
        <w:rPr>
          <w:sz w:val="24"/>
          <w:szCs w:val="24"/>
          <w:rtl w:val="0"/>
        </w:rPr>
        <w:t xml:space="preserve"> Aunque no lo parezca, los dispositivos en modo espera siguen consumiendo energía. Desconectar aquellos aparatos que no estén en uso puede suponer un ahorro significativo a largo plazo.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Optimizar el uso de electrodomésticos:</w:t>
      </w:r>
      <w:r w:rsidDel="00000000" w:rsidR="00000000" w:rsidRPr="00000000">
        <w:rPr>
          <w:sz w:val="24"/>
          <w:szCs w:val="24"/>
          <w:rtl w:val="0"/>
        </w:rPr>
        <w:t xml:space="preserve"> Utilizar programas de bajo consumo en los electrodomésticos como lavadoras o lavavajillas ayuda a reducir el gasto energético sin comprometer su funcionamiento. Programar estos aparatos en horarios con tarifas reducidas también ayuda a disminuir el gasto.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Cambiar a bombillas de bajo consumo:</w:t>
      </w:r>
      <w:r w:rsidDel="00000000" w:rsidR="00000000" w:rsidRPr="00000000">
        <w:rPr>
          <w:sz w:val="24"/>
          <w:szCs w:val="24"/>
          <w:rtl w:val="0"/>
        </w:rPr>
        <w:t xml:space="preserve"> Las bombillas LED son una opción eficiente para reducir el consumo eléctrico. Para incentivar este cambio, 123tinta.es ofrece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10% de descuento</w:t>
      </w:r>
      <w:r w:rsidDel="00000000" w:rsidR="00000000" w:rsidRPr="00000000">
        <w:rPr>
          <w:sz w:val="24"/>
          <w:szCs w:val="24"/>
          <w:rtl w:val="0"/>
        </w:rPr>
        <w:t xml:space="preserve"> en su catálogo de bombillas LED entre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31 de marzo y el 6 de abril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Adoptar estos hábitos ayuda a reducir el consumo energético, lo que nos permite ahorrar en costes y cuidar el medio ambiente reduciendo la huella de carbono con pequeños gestos en el día a día. Cambiar a bombillas LED y aplicar los consejos de ahorro permitirá crear un hogar más eficiente y sostenible.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Sobre 123tinta.es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4">
      <w:pPr>
        <w:jc w:val="both"/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7">
      <w:pPr>
        <w:spacing w:after="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Virginia Ayala: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comuicacion@actitud.es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559.0551181102362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49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EC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E725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muicacion@actitud.es" TargetMode="External"/><Relationship Id="rId10" Type="http://schemas.openxmlformats.org/officeDocument/2006/relationships/hyperlink" Target="https://www.123tinta.es/Toner-impresoras-laser-p4016.htm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Cartuchos-de-tinta-p1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123tinta.es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IQlc+WcSpohyJK7hklbm2F7fA==">CgMxLjA4AHIhMTVZMFZmUVgwOVFNYl9EMWhWazlvdHFhcWNxazN0WnZM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2022-02-04T14:32:00Z</dcterms:created>
  <dc:creator>actitud</dc:creator>
</cp:coreProperties>
</file>