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 través del Comité de Transportes,</w:t>
      </w:r>
    </w:p>
    <w:p w:rsidR="00000000" w:rsidDel="00000000" w:rsidP="00000000" w:rsidRDefault="00000000" w:rsidRPr="00000000" w14:paraId="00000002">
      <w:pPr>
        <w:spacing w:after="200" w:lineRule="auto"/>
        <w:jc w:val="center"/>
        <w:rPr>
          <w:rFonts w:ascii="Calibri" w:cs="Calibri" w:eastAsia="Calibri" w:hAnsi="Calibri"/>
          <w:b w:val="1"/>
          <w:i w:val="1"/>
          <w:sz w:val="52"/>
          <w:szCs w:val="52"/>
        </w:rPr>
      </w:pPr>
      <w:r w:rsidDel="00000000" w:rsidR="00000000" w:rsidRPr="00000000">
        <w:rPr>
          <w:rFonts w:ascii="Calibri" w:cs="Calibri" w:eastAsia="Calibri" w:hAnsi="Calibri"/>
          <w:b w:val="1"/>
          <w:sz w:val="52"/>
          <w:szCs w:val="52"/>
          <w:rtl w:val="0"/>
        </w:rPr>
        <w:t xml:space="preserve">El Parlamento Europeo refuerza los derechos de los pasajeros aéreos antes de la votación plenaria</w:t>
      </w:r>
      <w:r w:rsidDel="00000000" w:rsidR="00000000" w:rsidRPr="00000000">
        <w:rPr>
          <w:rtl w:val="0"/>
        </w:rPr>
      </w:r>
    </w:p>
    <w:p w:rsidR="00000000" w:rsidDel="00000000" w:rsidP="00000000" w:rsidRDefault="00000000" w:rsidRPr="00000000" w14:paraId="00000003">
      <w:pPr>
        <w:numPr>
          <w:ilvl w:val="0"/>
          <w:numId w:val="1"/>
        </w:numPr>
        <w:spacing w:after="200" w:line="276" w:lineRule="auto"/>
        <w:ind w:left="720" w:hanging="360"/>
        <w:jc w:val="both"/>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El Comité TRAN mantiene el umbral de tres horas para la compensación por retrasos y garantiza el derecho a una pieza de equipaje de mano gratuita</w:t>
      </w:r>
    </w:p>
    <w:p w:rsidR="00000000" w:rsidDel="00000000" w:rsidP="00000000" w:rsidRDefault="00000000" w:rsidRPr="00000000" w14:paraId="00000004">
      <w:pPr>
        <w:spacing w:after="200" w:lineRule="auto"/>
        <w:jc w:val="both"/>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b w:val="1"/>
          <w:highlight w:val="white"/>
          <w:rtl w:val="0"/>
        </w:rPr>
        <w:t xml:space="preserve">Madrid, 15 de octubre de 2025.-</w:t>
      </w:r>
      <w:r w:rsidDel="00000000" w:rsidR="00000000" w:rsidRPr="00000000">
        <w:rPr>
          <w:rFonts w:ascii="Calibri" w:cs="Calibri" w:eastAsia="Calibri" w:hAnsi="Calibri"/>
          <w:highlight w:val="white"/>
          <w:rtl w:val="0"/>
        </w:rPr>
        <w:t xml:space="preserve"> El Comité de Transporte y Turismo (TRAN) del Parlamento Europeo </w:t>
      </w:r>
      <w:r w:rsidDel="00000000" w:rsidR="00000000" w:rsidRPr="00000000">
        <w:rPr>
          <w:rFonts w:ascii="Calibri" w:cs="Calibri" w:eastAsia="Calibri" w:hAnsi="Calibri"/>
          <w:b w:val="1"/>
          <w:highlight w:val="white"/>
          <w:rtl w:val="0"/>
        </w:rPr>
        <w:t xml:space="preserve">reforzará la protección de los viajeros</w:t>
      </w:r>
      <w:r w:rsidDel="00000000" w:rsidR="00000000" w:rsidRPr="00000000">
        <w:rPr>
          <w:rFonts w:ascii="Calibri" w:cs="Calibri" w:eastAsia="Calibri" w:hAnsi="Calibri"/>
          <w:highlight w:val="white"/>
          <w:rtl w:val="0"/>
        </w:rPr>
        <w:t xml:space="preserve">, manteniendo el </w:t>
      </w:r>
      <w:r w:rsidDel="00000000" w:rsidR="00000000" w:rsidRPr="00000000">
        <w:rPr>
          <w:rFonts w:ascii="Calibri" w:cs="Calibri" w:eastAsia="Calibri" w:hAnsi="Calibri"/>
          <w:b w:val="1"/>
          <w:highlight w:val="white"/>
          <w:rtl w:val="0"/>
        </w:rPr>
        <w:t xml:space="preserve">umbral actual de tres horas de retraso</w:t>
      </w:r>
      <w:r w:rsidDel="00000000" w:rsidR="00000000" w:rsidRPr="00000000">
        <w:rPr>
          <w:rFonts w:ascii="Calibri" w:cs="Calibri" w:eastAsia="Calibri" w:hAnsi="Calibri"/>
          <w:highlight w:val="white"/>
          <w:rtl w:val="0"/>
        </w:rPr>
        <w:t xml:space="preserve"> para el derecho a compensación y garantizando </w:t>
      </w:r>
      <w:r w:rsidDel="00000000" w:rsidR="00000000" w:rsidRPr="00000000">
        <w:rPr>
          <w:rFonts w:ascii="Calibri" w:cs="Calibri" w:eastAsia="Calibri" w:hAnsi="Calibri"/>
          <w:b w:val="1"/>
          <w:highlight w:val="white"/>
          <w:rtl w:val="0"/>
        </w:rPr>
        <w:t xml:space="preserve">el transporte gratuito de una pieza de equipaje de mano</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5">
      <w:pPr>
        <w:spacing w:after="200" w:lineRule="auto"/>
        <w:jc w:val="both"/>
        <w:rPr>
          <w:rFonts w:ascii="Calibri" w:cs="Calibri" w:eastAsia="Calibri" w:hAnsi="Calibri"/>
          <w:highlight w:val="white"/>
        </w:rPr>
      </w:pPr>
      <w:bookmarkStart w:colFirst="0" w:colLast="0" w:name="_heading=h.h2t5mp5yakzx" w:id="1"/>
      <w:bookmarkEnd w:id="1"/>
      <w:r w:rsidDel="00000000" w:rsidR="00000000" w:rsidRPr="00000000">
        <w:rPr>
          <w:rFonts w:ascii="Calibri" w:cs="Calibri" w:eastAsia="Calibri" w:hAnsi="Calibri"/>
          <w:highlight w:val="white"/>
          <w:rtl w:val="0"/>
        </w:rPr>
        <w:t xml:space="preserve">Esta es la postura que adoptaron el pasado lunes los eurodiputados, con una amplia mayoría, sobre la revisión del Reglamento (CE) nº 261/2004 de los derechos de los pasajeros aéreos de la UE. </w:t>
      </w:r>
    </w:p>
    <w:p w:rsidR="00000000" w:rsidDel="00000000" w:rsidP="00000000" w:rsidRDefault="00000000" w:rsidRPr="00000000" w14:paraId="00000006">
      <w:pPr>
        <w:spacing w:after="200" w:lineRule="auto"/>
        <w:jc w:val="both"/>
        <w:rPr>
          <w:rFonts w:ascii="Calibri" w:cs="Calibri" w:eastAsia="Calibri" w:hAnsi="Calibri"/>
          <w:b w:val="1"/>
        </w:rPr>
      </w:pPr>
      <w:bookmarkStart w:colFirst="0" w:colLast="0" w:name="_heading=h.x6fct54hsft2" w:id="2"/>
      <w:bookmarkEnd w:id="2"/>
      <w:r w:rsidDel="00000000" w:rsidR="00000000" w:rsidRPr="00000000">
        <w:rPr>
          <w:rFonts w:ascii="Calibri" w:cs="Calibri" w:eastAsia="Calibri" w:hAnsi="Calibri"/>
          <w:b w:val="1"/>
          <w:rtl w:val="0"/>
        </w:rPr>
        <w:t xml:space="preserve">Respaldo a las demandas de los consumidores</w:t>
      </w:r>
    </w:p>
    <w:p w:rsidR="00000000" w:rsidDel="00000000" w:rsidP="00000000" w:rsidRDefault="00000000" w:rsidRPr="00000000" w14:paraId="00000007">
      <w:pPr>
        <w:spacing w:after="240" w:before="240" w:lineRule="auto"/>
        <w:jc w:val="both"/>
        <w:rPr>
          <w:rFonts w:ascii="Calibri" w:cs="Calibri" w:eastAsia="Calibri" w:hAnsi="Calibri"/>
          <w:highlight w:val="white"/>
        </w:rPr>
      </w:pPr>
      <w:bookmarkStart w:colFirst="0" w:colLast="0" w:name="_heading=h.jwuhvyg9pfc" w:id="3"/>
      <w:bookmarkEnd w:id="3"/>
      <w:r w:rsidDel="00000000" w:rsidR="00000000" w:rsidRPr="00000000">
        <w:rPr>
          <w:rFonts w:ascii="Calibri" w:cs="Calibri" w:eastAsia="Calibri" w:hAnsi="Calibri"/>
          <w:highlight w:val="white"/>
          <w:rtl w:val="0"/>
        </w:rPr>
        <w:t xml:space="preserve">La decisión del Comité TRAN corresponde a la </w:t>
      </w:r>
      <w:hyperlink r:id="rId7">
        <w:r w:rsidDel="00000000" w:rsidR="00000000" w:rsidRPr="00000000">
          <w:rPr>
            <w:rFonts w:ascii="Calibri" w:cs="Calibri" w:eastAsia="Calibri" w:hAnsi="Calibri"/>
            <w:b w:val="1"/>
            <w:color w:val="1155cc"/>
            <w:highlight w:val="white"/>
            <w:u w:val="single"/>
            <w:rtl w:val="0"/>
          </w:rPr>
          <w:t xml:space="preserve">petición conjunta</w:t>
        </w:r>
      </w:hyperlink>
      <w:r w:rsidDel="00000000" w:rsidR="00000000" w:rsidRPr="00000000">
        <w:rPr>
          <w:rFonts w:ascii="Calibri" w:cs="Calibri" w:eastAsia="Calibri" w:hAnsi="Calibri"/>
          <w:b w:val="1"/>
          <w:highlight w:val="white"/>
          <w:rtl w:val="0"/>
        </w:rPr>
        <w:t xml:space="preserve"> de diversas organizaciones de defensa de los pasajeros y consumidores</w:t>
      </w:r>
      <w:r w:rsidDel="00000000" w:rsidR="00000000" w:rsidRPr="00000000">
        <w:rPr>
          <w:rFonts w:ascii="Calibri" w:cs="Calibri" w:eastAsia="Calibri" w:hAnsi="Calibri"/>
          <w:highlight w:val="white"/>
          <w:rtl w:val="0"/>
        </w:rPr>
        <w:t xml:space="preserve">, entre ellas la OCU, Euroconsumers, GBTA, European Passengers Federation y </w:t>
      </w:r>
      <w:hyperlink r:id="rId8">
        <w:r w:rsidDel="00000000" w:rsidR="00000000" w:rsidRPr="00000000">
          <w:rPr>
            <w:rFonts w:ascii="Calibri" w:cs="Calibri" w:eastAsia="Calibri" w:hAnsi="Calibri"/>
            <w:color w:val="1155cc"/>
            <w:highlight w:val="white"/>
            <w:u w:val="single"/>
            <w:rtl w:val="0"/>
          </w:rPr>
          <w:t xml:space="preserve">APRA</w:t>
        </w:r>
      </w:hyperlink>
      <w:r w:rsidDel="00000000" w:rsidR="00000000" w:rsidRPr="00000000">
        <w:rPr>
          <w:rFonts w:ascii="Calibri" w:cs="Calibri" w:eastAsia="Calibri" w:hAnsi="Calibri"/>
          <w:highlight w:val="white"/>
          <w:rtl w:val="0"/>
        </w:rPr>
        <w:t xml:space="preserve">. Estas entidades habían reclamado al Parlamento mantener los estándares de protección actuales y mejorar la claridad normativa.</w:t>
      </w:r>
      <w:r w:rsidDel="00000000" w:rsidR="00000000" w:rsidRPr="00000000">
        <w:rPr>
          <w:rtl w:val="0"/>
        </w:rPr>
      </w:r>
    </w:p>
    <w:p w:rsidR="00000000" w:rsidDel="00000000" w:rsidP="00000000" w:rsidRDefault="00000000" w:rsidRPr="00000000" w14:paraId="00000008">
      <w:pPr>
        <w:spacing w:after="240" w:before="240" w:lineRule="auto"/>
        <w:jc w:val="both"/>
        <w:rPr>
          <w:rFonts w:ascii="Calibri" w:cs="Calibri" w:eastAsia="Calibri" w:hAnsi="Calibri"/>
          <w:highlight w:val="white"/>
        </w:rPr>
      </w:pPr>
      <w:bookmarkStart w:colFirst="0" w:colLast="0" w:name="_heading=h.jwuhvyg9pfc" w:id="3"/>
      <w:bookmarkEnd w:id="3"/>
      <w:r w:rsidDel="00000000" w:rsidR="00000000" w:rsidRPr="00000000">
        <w:rPr>
          <w:rFonts w:ascii="Calibri" w:cs="Calibri" w:eastAsia="Calibri" w:hAnsi="Calibri"/>
          <w:highlight w:val="white"/>
          <w:rtl w:val="0"/>
        </w:rPr>
        <w:t xml:space="preserve">Con esta votación, el Comité TRAN establece el </w:t>
      </w:r>
      <w:r w:rsidDel="00000000" w:rsidR="00000000" w:rsidRPr="00000000">
        <w:rPr>
          <w:rFonts w:ascii="Calibri" w:cs="Calibri" w:eastAsia="Calibri" w:hAnsi="Calibri"/>
          <w:b w:val="1"/>
          <w:highlight w:val="white"/>
          <w:rtl w:val="0"/>
        </w:rPr>
        <w:t xml:space="preserve">mandato de negociación del Parlamento Europeo</w:t>
      </w:r>
      <w:r w:rsidDel="00000000" w:rsidR="00000000" w:rsidRPr="00000000">
        <w:rPr>
          <w:rFonts w:ascii="Calibri" w:cs="Calibri" w:eastAsia="Calibri" w:hAnsi="Calibri"/>
          <w:highlight w:val="white"/>
          <w:rtl w:val="0"/>
        </w:rPr>
        <w:t xml:space="preserve">, lo que le permitirá representar su posición en los próximos </w:t>
      </w:r>
      <w:r w:rsidDel="00000000" w:rsidR="00000000" w:rsidRPr="00000000">
        <w:rPr>
          <w:rFonts w:ascii="Calibri" w:cs="Calibri" w:eastAsia="Calibri" w:hAnsi="Calibri"/>
          <w:b w:val="1"/>
          <w:highlight w:val="white"/>
          <w:rtl w:val="0"/>
        </w:rPr>
        <w:t xml:space="preserve">trílogos con el Consejo y la Comisión Europea</w:t>
      </w:r>
      <w:r w:rsidDel="00000000" w:rsidR="00000000" w:rsidRPr="00000000">
        <w:rPr>
          <w:rFonts w:ascii="Calibri" w:cs="Calibri" w:eastAsia="Calibri" w:hAnsi="Calibri"/>
          <w:highlight w:val="white"/>
          <w:rtl w:val="0"/>
        </w:rPr>
        <w:t xml:space="preserve">, que comenzarán de forma inminente.“Los derechos de los pasajeros aéreos europeos son la piedra angular del viaje moderno, y esta votación demuestra lo importante que es protegerlos”, dijo </w:t>
      </w:r>
      <w:r w:rsidDel="00000000" w:rsidR="00000000" w:rsidRPr="00000000">
        <w:rPr>
          <w:rFonts w:ascii="Calibri" w:cs="Calibri" w:eastAsia="Calibri" w:hAnsi="Calibri"/>
          <w:b w:val="1"/>
          <w:highlight w:val="white"/>
          <w:rtl w:val="0"/>
        </w:rPr>
        <w:t xml:space="preserve">Tomasz Pawliszyn</w:t>
      </w:r>
      <w:r w:rsidDel="00000000" w:rsidR="00000000" w:rsidRPr="00000000">
        <w:rPr>
          <w:rFonts w:ascii="Calibri" w:cs="Calibri" w:eastAsia="Calibri" w:hAnsi="Calibri"/>
          <w:highlight w:val="white"/>
          <w:rtl w:val="0"/>
        </w:rPr>
        <w:t xml:space="preserve">, presidente de </w:t>
      </w:r>
      <w:r w:rsidDel="00000000" w:rsidR="00000000" w:rsidRPr="00000000">
        <w:rPr>
          <w:rFonts w:ascii="Calibri" w:cs="Calibri" w:eastAsia="Calibri" w:hAnsi="Calibri"/>
          <w:b w:val="1"/>
          <w:highlight w:val="white"/>
          <w:rtl w:val="0"/>
        </w:rPr>
        <w:t xml:space="preserve">APRA </w:t>
      </w:r>
      <w:r w:rsidDel="00000000" w:rsidR="00000000" w:rsidRPr="00000000">
        <w:rPr>
          <w:rFonts w:ascii="Calibri" w:cs="Calibri" w:eastAsia="Calibri" w:hAnsi="Calibri"/>
          <w:highlight w:val="white"/>
          <w:rtl w:val="0"/>
        </w:rPr>
        <w:t xml:space="preserve">y CEO de</w:t>
      </w:r>
      <w:r w:rsidDel="00000000" w:rsidR="00000000" w:rsidRPr="00000000">
        <w:rPr>
          <w:rFonts w:ascii="Calibri" w:cs="Calibri" w:eastAsia="Calibri" w:hAnsi="Calibri"/>
          <w:b w:val="1"/>
          <w:highlight w:val="white"/>
          <w:rtl w:val="0"/>
        </w:rPr>
        <w:t xml:space="preserve"> </w:t>
      </w:r>
      <w:hyperlink r:id="rId9">
        <w:r w:rsidDel="00000000" w:rsidR="00000000" w:rsidRPr="00000000">
          <w:rPr>
            <w:rFonts w:ascii="Calibri" w:cs="Calibri" w:eastAsia="Calibri" w:hAnsi="Calibri"/>
            <w:b w:val="1"/>
            <w:color w:val="1155cc"/>
            <w:highlight w:val="white"/>
            <w:u w:val="single"/>
            <w:rtl w:val="0"/>
          </w:rPr>
          <w:t xml:space="preserve">AirHelp</w:t>
        </w:r>
      </w:hyperlink>
      <w:r w:rsidDel="00000000" w:rsidR="00000000" w:rsidRPr="00000000">
        <w:rPr>
          <w:rFonts w:ascii="Calibri" w:cs="Calibri" w:eastAsia="Calibri" w:hAnsi="Calibri"/>
          <w:highlight w:val="white"/>
          <w:rtl w:val="0"/>
        </w:rPr>
        <w:t xml:space="preserve">. “Cientos de millones de viajeros dependen del Reglamento CE 261 para su protección y transparencia. Por ello, instamos a los legisladores de la UE a mantener y reforzar estos derechos en la próxima fase de las negociaciones”.</w:t>
      </w:r>
    </w:p>
    <w:p w:rsidR="00000000" w:rsidDel="00000000" w:rsidP="00000000" w:rsidRDefault="00000000" w:rsidRPr="00000000" w14:paraId="00000009">
      <w:pPr>
        <w:keepNext w:val="0"/>
        <w:keepLines w:val="0"/>
        <w:jc w:val="both"/>
        <w:rPr>
          <w:rFonts w:ascii="Calibri" w:cs="Calibri" w:eastAsia="Calibri" w:hAnsi="Calibri"/>
          <w:b w:val="1"/>
        </w:rPr>
      </w:pPr>
      <w:r w:rsidDel="00000000" w:rsidR="00000000" w:rsidRPr="00000000">
        <w:rPr>
          <w:rFonts w:ascii="Calibri" w:cs="Calibri" w:eastAsia="Calibri" w:hAnsi="Calibri"/>
          <w:b w:val="1"/>
          <w:rtl w:val="0"/>
        </w:rPr>
        <w:t xml:space="preserve">Principales medidas adoptadas</w:t>
      </w:r>
    </w:p>
    <w:p w:rsidR="00000000" w:rsidDel="00000000" w:rsidP="00000000" w:rsidRDefault="00000000" w:rsidRPr="00000000" w14:paraId="0000000A">
      <w:pPr>
        <w:spacing w:after="240" w:before="240" w:lineRule="auto"/>
        <w:jc w:val="both"/>
        <w:rPr>
          <w:rFonts w:ascii="Calibri" w:cs="Calibri" w:eastAsia="Calibri" w:hAnsi="Calibri"/>
          <w:highlight w:val="white"/>
        </w:rPr>
      </w:pPr>
      <w:bookmarkStart w:colFirst="0" w:colLast="0" w:name="_heading=h.jwuhvyg9pfc" w:id="3"/>
      <w:bookmarkEnd w:id="3"/>
      <w:r w:rsidDel="00000000" w:rsidR="00000000" w:rsidRPr="00000000">
        <w:rPr>
          <w:rFonts w:ascii="Calibri" w:cs="Calibri" w:eastAsia="Calibri" w:hAnsi="Calibri"/>
          <w:b w:val="1"/>
          <w:highlight w:val="white"/>
          <w:rtl w:val="0"/>
        </w:rPr>
        <w:t xml:space="preserve">1. Compensación por grandes retrasos</w:t>
        <w:br w:type="textWrapping"/>
      </w:r>
      <w:r w:rsidDel="00000000" w:rsidR="00000000" w:rsidRPr="00000000">
        <w:rPr>
          <w:rFonts w:ascii="Calibri" w:cs="Calibri" w:eastAsia="Calibri" w:hAnsi="Calibri"/>
          <w:highlight w:val="white"/>
          <w:rtl w:val="0"/>
        </w:rPr>
        <w:t xml:space="preserve">El Comité rechazó las propuestas para ampliar el umbral de retraso que da derecho a compensación, optando por </w:t>
      </w:r>
      <w:r w:rsidDel="00000000" w:rsidR="00000000" w:rsidRPr="00000000">
        <w:rPr>
          <w:rFonts w:ascii="Calibri" w:cs="Calibri" w:eastAsia="Calibri" w:hAnsi="Calibri"/>
          <w:b w:val="1"/>
          <w:highlight w:val="white"/>
          <w:rtl w:val="0"/>
        </w:rPr>
        <w:t xml:space="preserve">mantener la regla actual de tres horas</w:t>
      </w:r>
      <w:r w:rsidDel="00000000" w:rsidR="00000000" w:rsidRPr="00000000">
        <w:rPr>
          <w:rFonts w:ascii="Calibri" w:cs="Calibri" w:eastAsia="Calibri" w:hAnsi="Calibri"/>
          <w:highlight w:val="white"/>
          <w:rtl w:val="0"/>
        </w:rPr>
        <w:t xml:space="preserve">. Además, los eurodiputados acordaron </w:t>
      </w:r>
      <w:r w:rsidDel="00000000" w:rsidR="00000000" w:rsidRPr="00000000">
        <w:rPr>
          <w:rFonts w:ascii="Calibri" w:cs="Calibri" w:eastAsia="Calibri" w:hAnsi="Calibri"/>
          <w:b w:val="1"/>
          <w:highlight w:val="white"/>
          <w:rtl w:val="0"/>
        </w:rPr>
        <w:t xml:space="preserve">aumentar la compensación mínima de 250 a 300 euros</w:t>
      </w:r>
      <w:r w:rsidDel="00000000" w:rsidR="00000000" w:rsidRPr="00000000">
        <w:rPr>
          <w:rFonts w:ascii="Calibri" w:cs="Calibri" w:eastAsia="Calibri" w:hAnsi="Calibri"/>
          <w:highlight w:val="white"/>
          <w:rtl w:val="0"/>
        </w:rPr>
        <w:t xml:space="preserve"> para retrasos prolongados, cancelaciones o denegaciones de embarque, actualizando así la cuantía a la inflación acumulada en los últimos 20 años.</w:t>
      </w:r>
    </w:p>
    <w:p w:rsidR="00000000" w:rsidDel="00000000" w:rsidP="00000000" w:rsidRDefault="00000000" w:rsidRPr="00000000" w14:paraId="0000000B">
      <w:pPr>
        <w:spacing w:after="240" w:before="240" w:lineRule="auto"/>
        <w:jc w:val="both"/>
        <w:rPr>
          <w:rFonts w:ascii="Calibri" w:cs="Calibri" w:eastAsia="Calibri" w:hAnsi="Calibri"/>
          <w:highlight w:val="white"/>
        </w:rPr>
      </w:pPr>
      <w:bookmarkStart w:colFirst="0" w:colLast="0" w:name="_heading=h.jwuhvyg9pfc" w:id="3"/>
      <w:bookmarkEnd w:id="3"/>
      <w:r w:rsidDel="00000000" w:rsidR="00000000" w:rsidRPr="00000000">
        <w:rPr>
          <w:rFonts w:ascii="Calibri" w:cs="Calibri" w:eastAsia="Calibri" w:hAnsi="Calibri"/>
          <w:b w:val="1"/>
          <w:highlight w:val="white"/>
          <w:rtl w:val="0"/>
        </w:rPr>
        <w:t xml:space="preserve">2. Equipaje de mano gratuito y transparente</w:t>
        <w:br w:type="textWrapping"/>
      </w:r>
      <w:r w:rsidDel="00000000" w:rsidR="00000000" w:rsidRPr="00000000">
        <w:rPr>
          <w:rFonts w:ascii="Calibri" w:cs="Calibri" w:eastAsia="Calibri" w:hAnsi="Calibri"/>
          <w:highlight w:val="white"/>
          <w:rtl w:val="0"/>
        </w:rPr>
        <w:t xml:space="preserve">El Comité confirmó el </w:t>
      </w:r>
      <w:r w:rsidDel="00000000" w:rsidR="00000000" w:rsidRPr="00000000">
        <w:rPr>
          <w:rFonts w:ascii="Calibri" w:cs="Calibri" w:eastAsia="Calibri" w:hAnsi="Calibri"/>
          <w:b w:val="1"/>
          <w:highlight w:val="white"/>
          <w:rtl w:val="0"/>
        </w:rPr>
        <w:t xml:space="preserve">derecho de todos los pasajeros a llevar una pieza de equipaje de mano sin coste adicional</w:t>
      </w:r>
      <w:r w:rsidDel="00000000" w:rsidR="00000000" w:rsidRPr="00000000">
        <w:rPr>
          <w:rFonts w:ascii="Calibri" w:cs="Calibri" w:eastAsia="Calibri" w:hAnsi="Calibri"/>
          <w:highlight w:val="white"/>
          <w:rtl w:val="0"/>
        </w:rPr>
        <w:t xml:space="preserve">, siempre que cumpla los límites de tamaño establecidos. Esta medida busca </w:t>
      </w:r>
      <w:r w:rsidDel="00000000" w:rsidR="00000000" w:rsidRPr="00000000">
        <w:rPr>
          <w:rFonts w:ascii="Calibri" w:cs="Calibri" w:eastAsia="Calibri" w:hAnsi="Calibri"/>
          <w:b w:val="1"/>
          <w:highlight w:val="white"/>
          <w:rtl w:val="0"/>
        </w:rPr>
        <w:t xml:space="preserve">armonizar las políticas de equipaje entre aerolíneas</w:t>
      </w:r>
      <w:r w:rsidDel="00000000" w:rsidR="00000000" w:rsidRPr="00000000">
        <w:rPr>
          <w:rFonts w:ascii="Calibri" w:cs="Calibri" w:eastAsia="Calibri" w:hAnsi="Calibri"/>
          <w:highlight w:val="white"/>
          <w:rtl w:val="0"/>
        </w:rPr>
        <w:t xml:space="preserve"> y garantizar una mayor transparencia y previsibilidad para los viajeros europeos.</w:t>
      </w:r>
    </w:p>
    <w:p w:rsidR="00000000" w:rsidDel="00000000" w:rsidP="00000000" w:rsidRDefault="00000000" w:rsidRPr="00000000" w14:paraId="0000000C">
      <w:pPr>
        <w:spacing w:after="240" w:before="240" w:lineRule="auto"/>
        <w:ind w:left="0" w:right="-40.8661417322827" w:firstLine="0"/>
        <w:jc w:val="both"/>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white"/>
          <w:rtl w:val="0"/>
        </w:rPr>
        <w:t xml:space="preserve">“Los pasajeros merecen un trato justo y derechos claros cuando sus planes de viaje se ven interrumpidos”, añadió Pawliszyn. “El Parlamento está absolutamente unido en este tema, sin votos en contra de la propuesta. Es una señal contundente de que el Comité de Transportes está firmemente del lado de los consumidores”.</w:t>
      </w:r>
    </w:p>
    <w:p w:rsidR="00000000" w:rsidDel="00000000" w:rsidP="00000000" w:rsidRDefault="00000000" w:rsidRPr="00000000" w14:paraId="0000000D">
      <w:pPr>
        <w:keepNext w:val="0"/>
        <w:keepLines w:val="0"/>
        <w:ind w:right="600"/>
        <w:jc w:val="both"/>
        <w:rPr>
          <w:rFonts w:ascii="Calibri" w:cs="Calibri" w:eastAsia="Calibri" w:hAnsi="Calibri"/>
          <w:b w:val="1"/>
        </w:rPr>
      </w:pPr>
      <w:r w:rsidDel="00000000" w:rsidR="00000000" w:rsidRPr="00000000">
        <w:rPr>
          <w:rFonts w:ascii="Calibri" w:cs="Calibri" w:eastAsia="Calibri" w:hAnsi="Calibri"/>
          <w:b w:val="1"/>
          <w:rtl w:val="0"/>
        </w:rPr>
        <w:t xml:space="preserve">Contexto de la revisión</w:t>
      </w:r>
    </w:p>
    <w:p w:rsidR="00000000" w:rsidDel="00000000" w:rsidP="00000000" w:rsidRDefault="00000000" w:rsidRPr="00000000" w14:paraId="0000000E">
      <w:pPr>
        <w:spacing w:after="240" w:before="240" w:lineRule="auto"/>
        <w:jc w:val="both"/>
        <w:rPr>
          <w:rFonts w:ascii="Calibri" w:cs="Calibri" w:eastAsia="Calibri" w:hAnsi="Calibri"/>
          <w:highlight w:val="white"/>
        </w:rPr>
      </w:pPr>
      <w:bookmarkStart w:colFirst="0" w:colLast="0" w:name="_heading=h.45ha4uooow6m" w:id="4"/>
      <w:bookmarkEnd w:id="4"/>
      <w:r w:rsidDel="00000000" w:rsidR="00000000" w:rsidRPr="00000000">
        <w:rPr>
          <w:rFonts w:ascii="Calibri" w:cs="Calibri" w:eastAsia="Calibri" w:hAnsi="Calibri"/>
          <w:highlight w:val="white"/>
          <w:rtl w:val="0"/>
        </w:rPr>
        <w:t xml:space="preserve">La reforma del Reglamento (CE) nº 261/2004 se debate desde 2013. La Comisión Europea había propuesto ampliar el umbral de retraso de tres a cinco horas, mientras que el Consejo sugería cuatro horas para vuelos de corto recorrido y seis para los de largo recorrido.</w:t>
      </w:r>
    </w:p>
    <w:p w:rsidR="00000000" w:rsidDel="00000000" w:rsidP="00000000" w:rsidRDefault="00000000" w:rsidRPr="00000000" w14:paraId="0000000F">
      <w:pPr>
        <w:spacing w:after="240" w:before="240" w:lineRule="auto"/>
        <w:jc w:val="both"/>
        <w:rPr>
          <w:rFonts w:ascii="Calibri" w:cs="Calibri" w:eastAsia="Calibri" w:hAnsi="Calibri"/>
          <w:highlight w:val="white"/>
        </w:rPr>
      </w:pPr>
      <w:bookmarkStart w:colFirst="0" w:colLast="0" w:name="_heading=h.45ha4uooow6m" w:id="4"/>
      <w:bookmarkEnd w:id="4"/>
      <w:r w:rsidDel="00000000" w:rsidR="00000000" w:rsidRPr="00000000">
        <w:rPr>
          <w:rFonts w:ascii="Calibri" w:cs="Calibri" w:eastAsia="Calibri" w:hAnsi="Calibri"/>
          <w:highlight w:val="white"/>
          <w:rtl w:val="0"/>
        </w:rPr>
        <w:t xml:space="preserve">Al mantener el umbral de tres horas e introducir compensaciones más justas, el Comité TRAN </w:t>
      </w:r>
      <w:r w:rsidDel="00000000" w:rsidR="00000000" w:rsidRPr="00000000">
        <w:rPr>
          <w:rFonts w:ascii="Calibri" w:cs="Calibri" w:eastAsia="Calibri" w:hAnsi="Calibri"/>
          <w:b w:val="1"/>
          <w:highlight w:val="white"/>
          <w:rtl w:val="0"/>
        </w:rPr>
        <w:t xml:space="preserve">adopta una posición centrada en el consumidor</w:t>
      </w:r>
      <w:r w:rsidDel="00000000" w:rsidR="00000000" w:rsidRPr="00000000">
        <w:rPr>
          <w:rFonts w:ascii="Calibri" w:cs="Calibri" w:eastAsia="Calibri" w:hAnsi="Calibri"/>
          <w:highlight w:val="white"/>
          <w:rtl w:val="0"/>
        </w:rPr>
        <w:t xml:space="preserve"> y </w:t>
      </w:r>
      <w:r w:rsidDel="00000000" w:rsidR="00000000" w:rsidRPr="00000000">
        <w:rPr>
          <w:rFonts w:ascii="Calibri" w:cs="Calibri" w:eastAsia="Calibri" w:hAnsi="Calibri"/>
          <w:b w:val="1"/>
          <w:highlight w:val="white"/>
          <w:rtl w:val="0"/>
        </w:rPr>
        <w:t xml:space="preserve">alinea la normativa europea con los estándares internacionales</w:t>
      </w:r>
      <w:r w:rsidDel="00000000" w:rsidR="00000000" w:rsidRPr="00000000">
        <w:rPr>
          <w:rFonts w:ascii="Calibri" w:cs="Calibri" w:eastAsia="Calibri" w:hAnsi="Calibri"/>
          <w:highlight w:val="white"/>
          <w:rtl w:val="0"/>
        </w:rPr>
        <w:t xml:space="preserve">, donde este umbral ya es la norma.</w:t>
      </w:r>
    </w:p>
    <w:p w:rsidR="00000000" w:rsidDel="00000000" w:rsidP="00000000" w:rsidRDefault="00000000" w:rsidRPr="00000000" w14:paraId="00000010">
      <w:pPr>
        <w:keepNext w:val="0"/>
        <w:keepLines w:val="0"/>
        <w:jc w:val="both"/>
        <w:rPr>
          <w:rFonts w:ascii="Calibri" w:cs="Calibri" w:eastAsia="Calibri" w:hAnsi="Calibri"/>
          <w:b w:val="1"/>
        </w:rPr>
      </w:pPr>
      <w:r w:rsidDel="00000000" w:rsidR="00000000" w:rsidRPr="00000000">
        <w:rPr>
          <w:rFonts w:ascii="Calibri" w:cs="Calibri" w:eastAsia="Calibri" w:hAnsi="Calibri"/>
          <w:b w:val="1"/>
          <w:rtl w:val="0"/>
        </w:rPr>
        <w:t xml:space="preserve">Aclaración sobre “circunstancias extraordinarias”</w:t>
      </w:r>
    </w:p>
    <w:p w:rsidR="00000000" w:rsidDel="00000000" w:rsidP="00000000" w:rsidRDefault="00000000" w:rsidRPr="00000000" w14:paraId="00000011">
      <w:pPr>
        <w:spacing w:after="240" w:before="240" w:lineRule="auto"/>
        <w:jc w:val="both"/>
        <w:rPr>
          <w:rFonts w:ascii="Calibri" w:cs="Calibri" w:eastAsia="Calibri" w:hAnsi="Calibri"/>
          <w:highlight w:val="white"/>
        </w:rPr>
      </w:pPr>
      <w:bookmarkStart w:colFirst="0" w:colLast="0" w:name="_heading=h.3jcnwal9uxre" w:id="5"/>
      <w:bookmarkEnd w:id="5"/>
      <w:r w:rsidDel="00000000" w:rsidR="00000000" w:rsidRPr="00000000">
        <w:rPr>
          <w:rFonts w:ascii="Calibri" w:cs="Calibri" w:eastAsia="Calibri" w:hAnsi="Calibri"/>
          <w:highlight w:val="white"/>
          <w:rtl w:val="0"/>
        </w:rPr>
        <w:t xml:space="preserve">En su petición al Parlamento, las asociaciones también instaron a </w:t>
      </w:r>
      <w:r w:rsidDel="00000000" w:rsidR="00000000" w:rsidRPr="00000000">
        <w:rPr>
          <w:rFonts w:ascii="Calibri" w:cs="Calibri" w:eastAsia="Calibri" w:hAnsi="Calibri"/>
          <w:b w:val="1"/>
          <w:highlight w:val="white"/>
          <w:rtl w:val="0"/>
        </w:rPr>
        <w:t xml:space="preserve">aclarar la definición de “circunstancias extraordinarias"</w:t>
      </w:r>
      <w:r w:rsidDel="00000000" w:rsidR="00000000" w:rsidRPr="00000000">
        <w:rPr>
          <w:rFonts w:ascii="Calibri" w:cs="Calibri" w:eastAsia="Calibri" w:hAnsi="Calibri"/>
          <w:highlight w:val="white"/>
          <w:rtl w:val="0"/>
        </w:rPr>
        <w:t xml:space="preserve"> que eximen a las aerolíneas de responsabilidad, con el objetivo de reforzar la seguridad jurídica y evitar contradicciones con la jurisprudencia vigente.</w:t>
      </w:r>
    </w:p>
    <w:p w:rsidR="00000000" w:rsidDel="00000000" w:rsidP="00000000" w:rsidRDefault="00000000" w:rsidRPr="00000000" w14:paraId="00000012">
      <w:pPr>
        <w:spacing w:after="160" w:line="259"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Petición para salvar los derechos de los pasajeros</w:t>
      </w:r>
    </w:p>
    <w:p w:rsidR="00000000" w:rsidDel="00000000" w:rsidP="00000000" w:rsidRDefault="00000000" w:rsidRPr="00000000" w14:paraId="00000013">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4">
      <w:pPr>
        <w:spacing w:after="160" w:line="259" w:lineRule="auto"/>
        <w:jc w:val="both"/>
        <w:rPr>
          <w:rFonts w:ascii="Calibri" w:cs="Calibri" w:eastAsia="Calibri" w:hAnsi="Calibri"/>
          <w:b w:val="1"/>
          <w:sz w:val="18"/>
          <w:szCs w:val="18"/>
          <w:u w:val="single"/>
        </w:rPr>
      </w:pPr>
      <w:hyperlink r:id="rId10">
        <w:r w:rsidDel="00000000" w:rsidR="00000000" w:rsidRPr="00000000">
          <w:rPr>
            <w:rFonts w:ascii="Calibri" w:cs="Calibri" w:eastAsia="Calibri" w:hAnsi="Calibri"/>
            <w:b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sz w:val="18"/>
          <w:szCs w:val="18"/>
          <w:u w:val="singl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Acerca de APRA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Asociación de Defensores de los Derechos de los Pasajeros (APRA) se estableció en 2017 para ofrecer una voz sobre la protección de los pasajeros aéreos. Fundada por las principales compañías de compensación de vuelos del mundo, la misión de APRA es asegurar la máxima protección para los pasajeros aéreos. La asociación participa activamente en un diálogo constructivo con las instituciones europeas y nacionales, así como con las líneas aéreas, los aeropuertos, los organismos nacionales de represión y otros interesados clave.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APRA ofrece una combinación de datos sólidos, análisis en profundidad y conocimientos colectivos, para informar a los encargados de la formulación de políticas y promover el interés de los pasajeros aéreos europeos. AirHelp, EUclaim, Reclamador y Flightright, entre otros. se encuentran entre los miembros de APRA.</w:t>
      </w:r>
      <w:r w:rsidDel="00000000" w:rsidR="00000000" w:rsidRPr="00000000">
        <w:rPr>
          <w:rtl w:val="0"/>
        </w:rPr>
      </w:r>
    </w:p>
    <w:p w:rsidR="00000000" w:rsidDel="00000000" w:rsidP="00000000" w:rsidRDefault="00000000" w:rsidRPr="00000000" w14:paraId="00000018">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9">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1A">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114300</wp:posOffset>
          </wp:positionV>
          <wp:extent cx="928688" cy="928688"/>
          <wp:effectExtent b="0" l="0" r="0" t="0"/>
          <wp:wrapTopAndBottom distB="114300" distT="114300"/>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28688" cy="928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ra-eu.com/wp-content/uploads/2025/10/open-letter-final.pdf" TargetMode="External"/><Relationship Id="rId8" Type="http://schemas.openxmlformats.org/officeDocument/2006/relationships/hyperlink" Target="https://apra-e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Vl70x3/GyBZ44mZxEVTGFAFlQ==">CgMxLjAyCGguZ2pkZ3hzMg5oLmgydDVtcDV5YWt6eDIOaC54NmZjdDU0aHNmdDIyDWguand1aHZ5ZzlwZmMyDWguand1aHZ5ZzlwZmMyDWguand1aHZ5ZzlwZmMyDWguand1aHZ5ZzlwZmMyCGguZ2pkZ3hzMg5oLjQ1aGE0dW9vb3c2bTIOaC40NWhhNHVvb293Nm0yDmguM2pjbndhbDl1eHJlOAByITF1TXB6bVotMWstcW5NSVBUWjFjVmlMeFc4RWZZemlQdA==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