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EADIC reflexiona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Es prioritario que las infraestructuras de las ciudades estén preparadas ante el cambio climático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200" w:befor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 combinación de conocimientos técnicos avanzados, innovación tecnológica y sostenibilidad es clave para mitigar riesgos y garantizar la eficiencia de las estructuras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200" w:befor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Herramientas como BIM, IoT e inteligencia artificial son identificadas como fundamentales para transformar el diseño, mantenimiento y gestión de infraestructuras, anticipando riesgos y promoviendo la sostenibilidad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Madrid, 2 de diciembre de 2024.–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Un mes después del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reciente episodio de DANA (Depresión Aislada en Niveles Altos) que impactó severamente en diversas regiones de España, se sigue poniendo de manifiesto la necesidad urgente de revisar, modernizar y mantener las infraestructuras del país. Las inundaciones, que afectaron a miles de personas y dejaron daños considerables en ecosistemas y estructuras, plantean interrogantes críticas sobre nuestra capacidad de respuesta ante eventos naturales extremos, cada vez más frecuentes e intensos debido al cambio climático.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EADIC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como escuela líder en formación técnica, reafirma su compromiso con la preparación de expertos capaces de afrontar los desafíos del cambio climático y liderar el desarrollo de infraestructuras sostenibles y resilientes.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 importancia del mantenimiento y la inversión en infraestructuras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deterioro de infraestructuras clave, como canales, carreteras y espacios públicos, se relaciona directamente con la falta de mantenimiento preventivo, un problema recurrente que amplifica los efectos de fenómenos climáticos extremos. Estos problemas, sumados a la falta de formación adecuada en gestión de emergencias, subrayan la importancia de capacitar a los profesionales del sector para anticiparse a los desafíos climáticos. En este contexto, EADIC aboga por una formación especializada que combine conocimientos técnicos avanzados, innovación tecnológica y sostenibilidad.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Expertos destacan que la prevención a través del mantenimiento es significativamente más económica que la reparación de daños tras un desastre.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hacer frente a estos desafíos, es fundamental incrementar el presupuesto destinado al mantenimiento y modernización de infraestructuras, con especial énfasis en: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Adaptación al cambio climático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dotando a las estructuras de resistencia frente a eventos extremos.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Movilidad y conectividad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esenciales para el desarrollo económico y social del país.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Protección del patrimonio cultural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preservando infraestructuras históricas para las generaciones futuras.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 tecnología: aliada en la construcción de resiliencia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incorporación de tecnologías avanzadas, como BIM (Building Information Modeling), IoT (Internet de las Cosas) e inteligencia artificial (IA), puede transformar la manera en que se diseñan, mantienen y gestionan las infraestructuras. Estas herramientas permiten anticipar y mitigar riesgos, optimizar el uso de recursos naturales y detectar problemas estructurales de forma temprana.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Además, la aplicación de materiales inteligentes y sistemas de monitoreo en tiempo real refuerza la resiliencia de las construcciones, mientras que el diseño sostenible garantiza un menor impacto ambiental y un uso eficiente de recursos.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El compromiso con la sostenibilidad y la innovación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Además, EADIC pone especial énfasis en el diseño sostenible, enseñando a los alumnos a implementar soluciones innovadoras que reduzcan la huella ecológica, aumenten la durabilidad de las infraestructuras y refuercen su resistencia frente a fenómenos extremos.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reciente Congreso SABIC, celebrado en Madrid, ha servido como un espacio para debatir el futuro del sector AEC (Arquitectura, Ingeniería y Construcción) en el contexto del cambio climático. Ponencias como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"Hacia un paradigma regenerativo"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destacaron la necesidad de integrar diseño sostenible y tecnología en el sector, sentando las bases para infraestructuras más eficientes y resistentes.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Hacia un futuro más resiliente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España debe adoptar un enfoque proactivo en la gestión de sus infraestructuras, combinando tecnología de vanguardia, sostenibilidad y un compromiso con el mantenimiento. El camino hacia ciudades más seguras y resilientes pasa por la formación constante de los profesionales del sector y la implementación de soluciones basadas en datos.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“En EADIC formamos a los profesionales que construirán un futuro más seguro, sostenible y resiliente. La clave está en combinar el conocimiento técnico con la innovación, centrados en cuatro pilares fundamentales: BIM, Inteligencia Artificial, Sostenibilidad y Construcción Industrializada, y ese es el corazón de nuestra propuesta educativa y de eventos como SABIC”, señala Ricardo Carramiñana, CEO de EADIC.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 enfoque no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solo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mitigará el impacto de futuros desastres naturales, sino que también posicionará a España como un referente en construcción sostenible y resiliente frente a los retos del cambio climático.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Sobre EADIC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EADIC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funda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en 2010 con la idea de formar profesionales competitivos en los sectores de ingeniería, arquitectura y construcción, a través de una oferta educativa y soluciones especializadas para estas disciplinas. </w:t>
      </w:r>
    </w:p>
    <w:p w:rsidR="00000000" w:rsidDel="00000000" w:rsidP="00000000" w:rsidRDefault="00000000" w:rsidRPr="00000000" w14:paraId="00000019">
      <w:pPr>
        <w:widowControl w:val="0"/>
        <w:spacing w:after="200" w:before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Gracias al gran equipo de expertos y al rápido crecimiento y expansión de la compañía, EADIC es un referente del sector, alcanzando segmentos relacionados con la consultoría especializada en ámbitos como BIM y el desarrollo de soluciones E-learning.</w:t>
      </w:r>
    </w:p>
    <w:p w:rsidR="00000000" w:rsidDel="00000000" w:rsidP="00000000" w:rsidRDefault="00000000" w:rsidRPr="00000000" w14:paraId="0000001A">
      <w:pPr>
        <w:spacing w:after="16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Para más información: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b w:val="1"/>
          <w:color w:val="1155cc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Mirella Palafox: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mirella.palafox@actitud.es</w:t>
        </w:r>
      </w:hyperlink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Actitud de Comunicación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Tel.: 91 302 28 60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700.7874015748032" w:top="1700.7874015748032" w:left="1598.740157480315" w:right="1598.74015748031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4343400</wp:posOffset>
          </wp:positionH>
          <wp:positionV relativeFrom="paragraph">
            <wp:posOffset>-342899</wp:posOffset>
          </wp:positionV>
          <wp:extent cx="2005965" cy="53149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4135" l="14064" r="17897" t="31358"/>
                  <a:stretch>
                    <a:fillRect/>
                  </a:stretch>
                </pic:blipFill>
                <pic:spPr>
                  <a:xfrm>
                    <a:off x="0" y="0"/>
                    <a:ext cx="2005965" cy="5314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adic.com/" TargetMode="External"/><Relationship Id="rId7" Type="http://schemas.openxmlformats.org/officeDocument/2006/relationships/hyperlink" Target="mailto:mirella.palafox@acttud.es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