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C2DA1B4" w14:textId="77777777" w:rsidR="000F6CF6" w:rsidRDefault="00000000">
      <w:pPr>
        <w:ind w:right="-370"/>
        <w:jc w:val="both"/>
        <w:rPr>
          <w:rFonts w:ascii="Calibri" w:eastAsia="Calibri" w:hAnsi="Calibri" w:cs="Calibri"/>
          <w:sz w:val="24"/>
          <w:szCs w:val="24"/>
        </w:rPr>
      </w:pPr>
      <w:hyperlink r:id="rId7">
        <w:r>
          <w:rPr>
            <w:rFonts w:ascii="Calibri" w:eastAsia="Calibri" w:hAnsi="Calibri" w:cs="Calibri"/>
            <w:color w:val="1155CC"/>
            <w:sz w:val="24"/>
            <w:szCs w:val="24"/>
            <w:u w:val="single"/>
          </w:rPr>
          <w:t>123tinta.es</w:t>
        </w:r>
      </w:hyperlink>
      <w:r>
        <w:rPr>
          <w:rFonts w:ascii="Calibri" w:eastAsia="Calibri" w:hAnsi="Calibri" w:cs="Calibri"/>
          <w:sz w:val="24"/>
          <w:szCs w:val="24"/>
        </w:rPr>
        <w:t xml:space="preserve"> presenta,</w:t>
      </w:r>
    </w:p>
    <w:p w14:paraId="0DA14CF0" w14:textId="77777777" w:rsidR="000F6CF6" w:rsidRDefault="00000000">
      <w:pPr>
        <w:ind w:right="-370"/>
        <w:jc w:val="both"/>
        <w:rPr>
          <w:rFonts w:ascii="Calibri" w:eastAsia="Calibri" w:hAnsi="Calibri" w:cs="Calibri"/>
          <w:sz w:val="24"/>
          <w:szCs w:val="24"/>
        </w:rPr>
      </w:pPr>
      <w:r>
        <w:rPr>
          <w:rFonts w:ascii="Calibri" w:eastAsia="Calibri" w:hAnsi="Calibri" w:cs="Calibri"/>
          <w:sz w:val="24"/>
          <w:szCs w:val="24"/>
        </w:rPr>
        <w:t xml:space="preserve"> </w:t>
      </w:r>
    </w:p>
    <w:p w14:paraId="00113ECD" w14:textId="77777777" w:rsidR="000F6CF6" w:rsidRDefault="00000000">
      <w:pPr>
        <w:spacing w:after="240" w:line="240" w:lineRule="auto"/>
        <w:ind w:left="720"/>
        <w:jc w:val="center"/>
        <w:rPr>
          <w:rFonts w:ascii="Calibri" w:eastAsia="Calibri" w:hAnsi="Calibri" w:cs="Calibri"/>
          <w:b/>
          <w:bCs/>
          <w:i/>
          <w:iCs/>
          <w:sz w:val="44"/>
          <w:szCs w:val="44"/>
        </w:rPr>
      </w:pPr>
      <w:r>
        <w:rPr>
          <w:rFonts w:ascii="Calibri" w:eastAsia="Calibri" w:hAnsi="Calibri" w:cs="Calibri"/>
          <w:b/>
          <w:bCs/>
          <w:sz w:val="44"/>
          <w:szCs w:val="44"/>
        </w:rPr>
        <w:t xml:space="preserve">Febrero: no es tarde para empezar a organizarse con un </w:t>
      </w:r>
      <w:r>
        <w:rPr>
          <w:rFonts w:ascii="Calibri" w:eastAsia="Calibri" w:hAnsi="Calibri" w:cs="Calibri"/>
          <w:b/>
          <w:bCs/>
          <w:i/>
          <w:iCs/>
          <w:sz w:val="44"/>
          <w:szCs w:val="44"/>
        </w:rPr>
        <w:t>Bullet Journal</w:t>
      </w:r>
    </w:p>
    <w:p w14:paraId="30A2E703" w14:textId="77777777" w:rsidR="000F6CF6" w:rsidRDefault="000F6CF6">
      <w:pPr>
        <w:spacing w:after="240" w:line="240" w:lineRule="auto"/>
        <w:ind w:left="720"/>
        <w:jc w:val="center"/>
        <w:rPr>
          <w:rFonts w:ascii="Calibri" w:eastAsia="Calibri" w:hAnsi="Calibri" w:cs="Calibri"/>
          <w:b/>
          <w:bCs/>
          <w:i/>
          <w:iCs/>
          <w:sz w:val="44"/>
          <w:szCs w:val="44"/>
        </w:rPr>
      </w:pPr>
    </w:p>
    <w:p w14:paraId="74851BD4" w14:textId="77777777" w:rsidR="000F6CF6" w:rsidRDefault="00000000">
      <w:pPr>
        <w:pStyle w:val="Ttulo1"/>
        <w:numPr>
          <w:ilvl w:val="0"/>
          <w:numId w:val="1"/>
        </w:numPr>
        <w:spacing w:line="276" w:lineRule="auto"/>
        <w:ind w:right="-374"/>
      </w:pPr>
      <w:bookmarkStart w:id="0" w:name="_7ypj16gf8j9j" w:colFirst="0" w:colLast="0"/>
      <w:bookmarkEnd w:id="0"/>
      <w:r>
        <w:t>Este mes es perfecto para retomar los propósitos de organización sin la presión de inicio de año, apostando por hábitos sostenibles y realistas</w:t>
      </w:r>
    </w:p>
    <w:p w14:paraId="31899545" w14:textId="77777777" w:rsidR="000F6CF6" w:rsidRDefault="00000000">
      <w:pPr>
        <w:numPr>
          <w:ilvl w:val="0"/>
          <w:numId w:val="1"/>
        </w:numPr>
        <w:spacing w:before="200"/>
        <w:jc w:val="both"/>
        <w:rPr>
          <w:b/>
          <w:bCs/>
          <w:i/>
          <w:iCs/>
        </w:rPr>
      </w:pPr>
      <w:r>
        <w:rPr>
          <w:rFonts w:ascii="Calibri" w:eastAsia="Calibri" w:hAnsi="Calibri" w:cs="Calibri"/>
          <w:b/>
          <w:bCs/>
          <w:i/>
          <w:iCs/>
          <w:sz w:val="24"/>
          <w:szCs w:val="24"/>
        </w:rPr>
        <w:t xml:space="preserve">Definir prioridades semanales y mensuales, diseñar un calendario sencillo y utilizar materiales adecuados son algunos de los consejos del ecommerce para empezar un Bullet Journal </w:t>
      </w:r>
    </w:p>
    <w:p w14:paraId="06303849" w14:textId="77777777" w:rsidR="000F6CF6" w:rsidRDefault="000F6CF6">
      <w:pPr>
        <w:spacing w:before="200"/>
        <w:ind w:left="720"/>
        <w:rPr>
          <w:rFonts w:ascii="Calibri" w:eastAsia="Calibri" w:hAnsi="Calibri" w:cs="Calibri"/>
          <w:b/>
          <w:bCs/>
          <w:i/>
          <w:iCs/>
          <w:sz w:val="24"/>
          <w:szCs w:val="24"/>
        </w:rPr>
      </w:pPr>
    </w:p>
    <w:p w14:paraId="02EBEF30" w14:textId="77777777" w:rsidR="000F6CF6" w:rsidRDefault="00000000">
      <w:pPr>
        <w:spacing w:after="200" w:line="240" w:lineRule="auto"/>
        <w:ind w:left="720" w:right="-370" w:hanging="720"/>
        <w:jc w:val="center"/>
        <w:rPr>
          <w:rFonts w:ascii="Calibri" w:eastAsia="Calibri" w:hAnsi="Calibri" w:cs="Calibri"/>
          <w:b/>
          <w:bCs/>
          <w:sz w:val="24"/>
          <w:szCs w:val="24"/>
        </w:rPr>
      </w:pPr>
      <w:r>
        <w:rPr>
          <w:rFonts w:ascii="Calibri" w:eastAsia="Calibri" w:hAnsi="Calibri" w:cs="Calibri"/>
          <w:b/>
          <w:bCs/>
          <w:noProof/>
          <w:sz w:val="24"/>
          <w:szCs w:val="24"/>
        </w:rPr>
        <w:drawing>
          <wp:inline distT="114300" distB="114300" distL="114300" distR="114300" wp14:anchorId="1FA836FC" wp14:editId="135227D5">
            <wp:extent cx="3394238" cy="226087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394238" cy="2260878"/>
                    </a:xfrm>
                    <a:prstGeom prst="rect">
                      <a:avLst/>
                    </a:prstGeom>
                    <a:ln/>
                  </pic:spPr>
                </pic:pic>
              </a:graphicData>
            </a:graphic>
          </wp:inline>
        </w:drawing>
      </w:r>
    </w:p>
    <w:p w14:paraId="3043AD6D" w14:textId="77777777" w:rsidR="000F6CF6" w:rsidRDefault="00000000">
      <w:pPr>
        <w:spacing w:before="240" w:after="240"/>
        <w:jc w:val="both"/>
        <w:rPr>
          <w:rFonts w:ascii="Calibri" w:eastAsia="Calibri" w:hAnsi="Calibri" w:cs="Calibri"/>
          <w:sz w:val="24"/>
          <w:szCs w:val="24"/>
        </w:rPr>
      </w:pPr>
      <w:r>
        <w:rPr>
          <w:rFonts w:ascii="Calibri" w:eastAsia="Calibri" w:hAnsi="Calibri" w:cs="Calibri"/>
          <w:b/>
          <w:bCs/>
          <w:sz w:val="24"/>
          <w:szCs w:val="24"/>
        </w:rPr>
        <w:t xml:space="preserve">Madrid, xx de febrero de 2026. - </w:t>
      </w:r>
      <w:r>
        <w:rPr>
          <w:rFonts w:ascii="Calibri" w:eastAsia="Calibri" w:hAnsi="Calibri" w:cs="Calibri"/>
          <w:sz w:val="24"/>
          <w:szCs w:val="24"/>
        </w:rPr>
        <w:t>Febrero es el momento perfecto para hacer una pausa, revisar nuestros propósitos y retomar nuestra organización personal. Tras el ritmo acelerado de enero, febrero nos ofrece la oportunidad perfecta para consolidar hábitos, sin la presión del inicio de año, y analizar si, efectivamente, todo los propósitos que llegan con enero son viables.</w:t>
      </w:r>
    </w:p>
    <w:p w14:paraId="2F60EFCA" w14:textId="77777777" w:rsidR="000F6CF6" w:rsidRDefault="00000000">
      <w:pPr>
        <w:spacing w:before="240" w:after="240"/>
        <w:jc w:val="both"/>
        <w:rPr>
          <w:rFonts w:ascii="Calibri" w:eastAsia="Calibri" w:hAnsi="Calibri" w:cs="Calibri"/>
          <w:sz w:val="24"/>
          <w:szCs w:val="24"/>
        </w:rPr>
      </w:pPr>
      <w:r>
        <w:rPr>
          <w:rFonts w:ascii="Calibri" w:eastAsia="Calibri" w:hAnsi="Calibri" w:cs="Calibri"/>
          <w:sz w:val="24"/>
          <w:szCs w:val="24"/>
        </w:rPr>
        <w:t xml:space="preserve">Con este objetivo, 123tinta.es, ecommerce líder en </w:t>
      </w:r>
      <w:hyperlink r:id="rId9">
        <w:r>
          <w:rPr>
            <w:rFonts w:ascii="Calibri" w:eastAsia="Calibri" w:hAnsi="Calibri" w:cs="Calibri"/>
            <w:color w:val="1155CC"/>
            <w:sz w:val="24"/>
            <w:szCs w:val="24"/>
            <w:u w:val="single"/>
          </w:rPr>
          <w:t>cartuchos de impresoras y tóner</w:t>
        </w:r>
      </w:hyperlink>
      <w:r>
        <w:rPr>
          <w:rFonts w:ascii="Calibri" w:eastAsia="Calibri" w:hAnsi="Calibri" w:cs="Calibri"/>
          <w:sz w:val="24"/>
          <w:szCs w:val="24"/>
        </w:rPr>
        <w:t xml:space="preserve">, comparte una serie de consejos para ayudar a organizarse creando </w:t>
      </w:r>
      <w:r>
        <w:rPr>
          <w:rFonts w:ascii="Calibri" w:eastAsia="Calibri" w:hAnsi="Calibri" w:cs="Calibri"/>
          <w:b/>
          <w:bCs/>
          <w:sz w:val="24"/>
          <w:szCs w:val="24"/>
        </w:rPr>
        <w:t>un Bullet Journal</w:t>
      </w:r>
      <w:r>
        <w:rPr>
          <w:rFonts w:ascii="Calibri" w:eastAsia="Calibri" w:hAnsi="Calibri" w:cs="Calibri"/>
          <w:sz w:val="24"/>
          <w:szCs w:val="24"/>
        </w:rPr>
        <w:t xml:space="preserve">. Este método que se ha convertido en una de las formas más eficaces y creativas de planificar objetivos, tareas y proyectos. </w:t>
      </w:r>
    </w:p>
    <w:p w14:paraId="34DBE3E9" w14:textId="77777777" w:rsidR="000F6CF6" w:rsidRDefault="000F6CF6">
      <w:pPr>
        <w:spacing w:before="240" w:after="240"/>
        <w:jc w:val="both"/>
        <w:rPr>
          <w:rFonts w:ascii="Calibri" w:eastAsia="Calibri" w:hAnsi="Calibri" w:cs="Calibri"/>
          <w:b/>
          <w:bCs/>
          <w:sz w:val="24"/>
          <w:szCs w:val="24"/>
        </w:rPr>
      </w:pPr>
    </w:p>
    <w:p w14:paraId="72C33F14" w14:textId="77777777" w:rsidR="000F6CF6" w:rsidRDefault="00000000">
      <w:pPr>
        <w:spacing w:before="240" w:after="240"/>
        <w:jc w:val="both"/>
        <w:rPr>
          <w:rFonts w:ascii="Calibri" w:eastAsia="Calibri" w:hAnsi="Calibri" w:cs="Calibri"/>
          <w:b/>
          <w:bCs/>
          <w:sz w:val="24"/>
          <w:szCs w:val="24"/>
        </w:rPr>
      </w:pPr>
      <w:r>
        <w:rPr>
          <w:rFonts w:ascii="Calibri" w:eastAsia="Calibri" w:hAnsi="Calibri" w:cs="Calibri"/>
          <w:b/>
          <w:bCs/>
          <w:sz w:val="24"/>
          <w:szCs w:val="24"/>
        </w:rPr>
        <w:t xml:space="preserve">Qué es el método bullet journal </w:t>
      </w:r>
    </w:p>
    <w:p w14:paraId="4757CF83" w14:textId="77777777" w:rsidR="000F6CF6" w:rsidRDefault="00000000">
      <w:pPr>
        <w:spacing w:before="240" w:after="240"/>
        <w:jc w:val="both"/>
        <w:rPr>
          <w:rFonts w:ascii="Calibri" w:eastAsia="Calibri" w:hAnsi="Calibri" w:cs="Calibri"/>
          <w:sz w:val="24"/>
          <w:szCs w:val="24"/>
        </w:rPr>
      </w:pPr>
      <w:r>
        <w:rPr>
          <w:rFonts w:ascii="Calibri" w:eastAsia="Calibri" w:hAnsi="Calibri" w:cs="Calibri"/>
          <w:sz w:val="24"/>
          <w:szCs w:val="24"/>
        </w:rPr>
        <w:lastRenderedPageBreak/>
        <w:t xml:space="preserve">Es un sistema de organización personal que combina agenda, lista de tareas y diario en un solo cuaderno, de forma visual. El objetivo es ayudar a las personas a organizar sus ideas, tareas y metas de forma clara y flexible. </w:t>
      </w:r>
    </w:p>
    <w:p w14:paraId="0EC0A7FD" w14:textId="77777777" w:rsidR="000F6CF6" w:rsidRDefault="00000000">
      <w:pPr>
        <w:spacing w:before="240" w:after="240"/>
        <w:jc w:val="both"/>
        <w:rPr>
          <w:rFonts w:ascii="Calibri" w:eastAsia="Calibri" w:hAnsi="Calibri" w:cs="Calibri"/>
          <w:sz w:val="24"/>
          <w:szCs w:val="24"/>
        </w:rPr>
      </w:pPr>
      <w:r>
        <w:rPr>
          <w:rFonts w:ascii="Calibri" w:eastAsia="Calibri" w:hAnsi="Calibri" w:cs="Calibri"/>
          <w:sz w:val="24"/>
          <w:szCs w:val="24"/>
        </w:rPr>
        <w:t>Se basa en el uso de listas estructuradas, símbolos “bullets” y registros mensuales, semanales y diarios que permiten planificar, hacer seguimiento de hábitos y reflexionar sobre el progreso. La característica principal es que se trata de una forma de organización totalmente personalizada y adaptada a los gustos y gestión práctica de cada persona.</w:t>
      </w:r>
    </w:p>
    <w:p w14:paraId="0FF94EC2" w14:textId="77777777" w:rsidR="000F6CF6" w:rsidRDefault="00000000">
      <w:pPr>
        <w:spacing w:before="240" w:after="240"/>
        <w:jc w:val="both"/>
        <w:rPr>
          <w:rFonts w:ascii="Calibri" w:eastAsia="Calibri" w:hAnsi="Calibri" w:cs="Calibri"/>
          <w:b/>
          <w:bCs/>
          <w:sz w:val="24"/>
          <w:szCs w:val="24"/>
        </w:rPr>
      </w:pPr>
      <w:r>
        <w:rPr>
          <w:rFonts w:ascii="Calibri" w:eastAsia="Calibri" w:hAnsi="Calibri" w:cs="Calibri"/>
          <w:b/>
          <w:bCs/>
          <w:sz w:val="24"/>
          <w:szCs w:val="24"/>
        </w:rPr>
        <w:t>Consejos para empezar un Bullet Journal</w:t>
      </w:r>
    </w:p>
    <w:p w14:paraId="6A4F24A4" w14:textId="77777777" w:rsidR="000F6CF6" w:rsidRDefault="00000000">
      <w:pPr>
        <w:numPr>
          <w:ilvl w:val="0"/>
          <w:numId w:val="2"/>
        </w:numPr>
        <w:spacing w:before="240" w:after="240"/>
        <w:jc w:val="both"/>
        <w:rPr>
          <w:rFonts w:ascii="Calibri" w:eastAsia="Calibri" w:hAnsi="Calibri" w:cs="Calibri"/>
          <w:b/>
          <w:bCs/>
          <w:sz w:val="24"/>
          <w:szCs w:val="24"/>
        </w:rPr>
      </w:pPr>
      <w:r>
        <w:rPr>
          <w:rFonts w:ascii="Calibri" w:eastAsia="Calibri" w:hAnsi="Calibri" w:cs="Calibri"/>
          <w:b/>
          <w:bCs/>
          <w:sz w:val="24"/>
          <w:szCs w:val="24"/>
        </w:rPr>
        <w:t>Empezar con una visión clara del mes</w:t>
      </w:r>
    </w:p>
    <w:p w14:paraId="793DA24F" w14:textId="77777777" w:rsidR="000F6CF6" w:rsidRDefault="00000000">
      <w:pPr>
        <w:spacing w:before="240" w:after="240"/>
        <w:jc w:val="both"/>
        <w:rPr>
          <w:rFonts w:ascii="Calibri" w:eastAsia="Calibri" w:hAnsi="Calibri" w:cs="Calibri"/>
          <w:sz w:val="24"/>
          <w:szCs w:val="24"/>
        </w:rPr>
      </w:pPr>
      <w:r>
        <w:rPr>
          <w:rFonts w:ascii="Calibri" w:eastAsia="Calibri" w:hAnsi="Calibri" w:cs="Calibri"/>
          <w:sz w:val="24"/>
          <w:szCs w:val="24"/>
        </w:rPr>
        <w:t xml:space="preserve">Antes de crear listas, es recomendable dedicar una página a definir las prioridades del mes. Identificar los objetivos que desean consolidar y los hábitos que se quieren reforzar permite establecer una base sólida y realista. Para ello, solo se necesita una libreta y un bolígrafo que facilite una escritura fluida. </w:t>
      </w:r>
    </w:p>
    <w:p w14:paraId="4C889EC5" w14:textId="77777777" w:rsidR="000F6CF6" w:rsidRDefault="00000000">
      <w:pPr>
        <w:numPr>
          <w:ilvl w:val="0"/>
          <w:numId w:val="2"/>
        </w:numPr>
        <w:spacing w:before="240" w:after="240"/>
        <w:jc w:val="both"/>
        <w:rPr>
          <w:rFonts w:ascii="Calibri" w:eastAsia="Calibri" w:hAnsi="Calibri" w:cs="Calibri"/>
          <w:b/>
          <w:bCs/>
          <w:sz w:val="24"/>
          <w:szCs w:val="24"/>
        </w:rPr>
      </w:pPr>
      <w:r>
        <w:rPr>
          <w:rFonts w:ascii="Calibri" w:eastAsia="Calibri" w:hAnsi="Calibri" w:cs="Calibri"/>
          <w:b/>
          <w:bCs/>
          <w:sz w:val="24"/>
          <w:szCs w:val="24"/>
        </w:rPr>
        <w:t>Elegir el formato más adecuado</w:t>
      </w:r>
    </w:p>
    <w:p w14:paraId="303FBEF6" w14:textId="77777777" w:rsidR="000F6CF6" w:rsidRDefault="00000000">
      <w:pPr>
        <w:spacing w:before="240" w:after="240"/>
        <w:jc w:val="both"/>
        <w:rPr>
          <w:rFonts w:ascii="Calibri" w:eastAsia="Calibri" w:hAnsi="Calibri" w:cs="Calibri"/>
          <w:sz w:val="24"/>
          <w:szCs w:val="24"/>
        </w:rPr>
      </w:pPr>
      <w:r>
        <w:rPr>
          <w:rFonts w:ascii="Calibri" w:eastAsia="Calibri" w:hAnsi="Calibri" w:cs="Calibri"/>
          <w:sz w:val="24"/>
          <w:szCs w:val="24"/>
        </w:rPr>
        <w:t xml:space="preserve">El Bullet Journal puede adaptarse a distintos formatos: papel punteado, cuadriculado, rayado o en blanco, según el estilo de organización que se prefiera. Las hojas sueltas también representan una alternativa interesante, ya que permiten organizar secciones o archivos por meses. En caso de utilizar rotuladores, se recomienda optar por un </w:t>
      </w:r>
      <w:hyperlink r:id="rId10">
        <w:r>
          <w:rPr>
            <w:rFonts w:ascii="Calibri" w:eastAsia="Calibri" w:hAnsi="Calibri" w:cs="Calibri"/>
            <w:color w:val="1155CC"/>
            <w:sz w:val="24"/>
            <w:szCs w:val="24"/>
            <w:u w:val="single"/>
          </w:rPr>
          <w:t>papel</w:t>
        </w:r>
      </w:hyperlink>
      <w:r>
        <w:rPr>
          <w:rFonts w:ascii="Calibri" w:eastAsia="Calibri" w:hAnsi="Calibri" w:cs="Calibri"/>
          <w:sz w:val="24"/>
          <w:szCs w:val="24"/>
        </w:rPr>
        <w:t xml:space="preserve"> de al menos 100 g/m² para evitar transparencias. </w:t>
      </w:r>
    </w:p>
    <w:p w14:paraId="188DC394" w14:textId="77777777" w:rsidR="000F6CF6" w:rsidRDefault="00000000">
      <w:pPr>
        <w:numPr>
          <w:ilvl w:val="0"/>
          <w:numId w:val="2"/>
        </w:numPr>
        <w:spacing w:before="240" w:after="240"/>
        <w:jc w:val="both"/>
        <w:rPr>
          <w:rFonts w:ascii="Calibri" w:eastAsia="Calibri" w:hAnsi="Calibri" w:cs="Calibri"/>
          <w:b/>
          <w:bCs/>
          <w:sz w:val="24"/>
          <w:szCs w:val="24"/>
        </w:rPr>
      </w:pPr>
      <w:r>
        <w:rPr>
          <w:rFonts w:ascii="Calibri" w:eastAsia="Calibri" w:hAnsi="Calibri" w:cs="Calibri"/>
          <w:b/>
          <w:bCs/>
          <w:sz w:val="24"/>
          <w:szCs w:val="24"/>
        </w:rPr>
        <w:t>Diseñar un calendario mensual sencillo</w:t>
      </w:r>
    </w:p>
    <w:p w14:paraId="1194C0F0" w14:textId="77777777" w:rsidR="000F6CF6" w:rsidRDefault="00000000">
      <w:pPr>
        <w:spacing w:before="240" w:after="240"/>
        <w:jc w:val="both"/>
        <w:rPr>
          <w:rFonts w:ascii="Calibri" w:eastAsia="Calibri" w:hAnsi="Calibri" w:cs="Calibri"/>
          <w:sz w:val="24"/>
          <w:szCs w:val="24"/>
        </w:rPr>
      </w:pPr>
      <w:r>
        <w:rPr>
          <w:rFonts w:ascii="Calibri" w:eastAsia="Calibri" w:hAnsi="Calibri" w:cs="Calibri"/>
          <w:sz w:val="24"/>
          <w:szCs w:val="24"/>
        </w:rPr>
        <w:t xml:space="preserve">Incluir fechas clave, citas importantes y plazos de entrega ayuda a estructurar el mes con claridad. No es necesario recurrir a diseños complejos: la funcionalidad y la limpieza visual son claves para mantener la constancia. </w:t>
      </w:r>
    </w:p>
    <w:p w14:paraId="12BA6532" w14:textId="77777777" w:rsidR="000F6CF6" w:rsidRDefault="00000000">
      <w:pPr>
        <w:numPr>
          <w:ilvl w:val="0"/>
          <w:numId w:val="2"/>
        </w:numPr>
        <w:spacing w:before="240" w:after="240"/>
        <w:jc w:val="both"/>
        <w:rPr>
          <w:rFonts w:ascii="Calibri" w:eastAsia="Calibri" w:hAnsi="Calibri" w:cs="Calibri"/>
          <w:b/>
          <w:bCs/>
          <w:sz w:val="24"/>
          <w:szCs w:val="24"/>
        </w:rPr>
      </w:pPr>
      <w:r>
        <w:rPr>
          <w:rFonts w:ascii="Calibri" w:eastAsia="Calibri" w:hAnsi="Calibri" w:cs="Calibri"/>
          <w:b/>
          <w:bCs/>
          <w:sz w:val="24"/>
          <w:szCs w:val="24"/>
        </w:rPr>
        <w:t>Crear registros semanales realistas</w:t>
      </w:r>
    </w:p>
    <w:p w14:paraId="13C8F6E0" w14:textId="77777777" w:rsidR="000F6CF6" w:rsidRDefault="00000000">
      <w:pPr>
        <w:spacing w:before="240" w:after="240"/>
        <w:jc w:val="both"/>
        <w:rPr>
          <w:rFonts w:ascii="Calibri" w:eastAsia="Calibri" w:hAnsi="Calibri" w:cs="Calibri"/>
          <w:sz w:val="24"/>
          <w:szCs w:val="24"/>
        </w:rPr>
      </w:pPr>
      <w:r>
        <w:rPr>
          <w:rFonts w:ascii="Calibri" w:eastAsia="Calibri" w:hAnsi="Calibri" w:cs="Calibri"/>
          <w:sz w:val="24"/>
          <w:szCs w:val="24"/>
        </w:rPr>
        <w:t>Dividir los objetivos en pequeñas acciones semanales facilita el seguimiento del progreso y reduce la sensación de saturación. Contar con materiales de escritura cómodos contribuye a mantener el hábito en el día a día.</w:t>
      </w:r>
    </w:p>
    <w:p w14:paraId="1FB39C56" w14:textId="77777777" w:rsidR="000F6CF6" w:rsidRDefault="000F6CF6">
      <w:pPr>
        <w:spacing w:before="240" w:after="240"/>
        <w:jc w:val="both"/>
        <w:rPr>
          <w:rFonts w:ascii="Calibri" w:eastAsia="Calibri" w:hAnsi="Calibri" w:cs="Calibri"/>
          <w:sz w:val="24"/>
          <w:szCs w:val="24"/>
        </w:rPr>
      </w:pPr>
    </w:p>
    <w:p w14:paraId="4881421E" w14:textId="77777777" w:rsidR="000F6CF6" w:rsidRDefault="000F6CF6">
      <w:pPr>
        <w:spacing w:before="240" w:after="240"/>
        <w:jc w:val="both"/>
        <w:rPr>
          <w:rFonts w:ascii="Calibri" w:eastAsia="Calibri" w:hAnsi="Calibri" w:cs="Calibri"/>
          <w:sz w:val="24"/>
          <w:szCs w:val="24"/>
        </w:rPr>
      </w:pPr>
    </w:p>
    <w:p w14:paraId="21D25F8D" w14:textId="77777777" w:rsidR="000F6CF6" w:rsidRDefault="000F6CF6">
      <w:pPr>
        <w:spacing w:before="240" w:after="240"/>
        <w:jc w:val="both"/>
        <w:rPr>
          <w:rFonts w:ascii="Calibri" w:eastAsia="Calibri" w:hAnsi="Calibri" w:cs="Calibri"/>
          <w:sz w:val="24"/>
          <w:szCs w:val="24"/>
        </w:rPr>
      </w:pPr>
    </w:p>
    <w:p w14:paraId="1EA87838" w14:textId="77777777" w:rsidR="000F6CF6" w:rsidRDefault="00000000">
      <w:pPr>
        <w:numPr>
          <w:ilvl w:val="0"/>
          <w:numId w:val="2"/>
        </w:numPr>
        <w:spacing w:before="240" w:after="240"/>
        <w:jc w:val="both"/>
        <w:rPr>
          <w:rFonts w:ascii="Calibri" w:eastAsia="Calibri" w:hAnsi="Calibri" w:cs="Calibri"/>
          <w:b/>
          <w:bCs/>
          <w:sz w:val="24"/>
          <w:szCs w:val="24"/>
        </w:rPr>
      </w:pPr>
      <w:r>
        <w:rPr>
          <w:rFonts w:ascii="Calibri" w:eastAsia="Calibri" w:hAnsi="Calibri" w:cs="Calibri"/>
          <w:b/>
          <w:bCs/>
          <w:sz w:val="24"/>
          <w:szCs w:val="24"/>
        </w:rPr>
        <w:lastRenderedPageBreak/>
        <w:t xml:space="preserve">Incorporar </w:t>
      </w:r>
      <w:r>
        <w:rPr>
          <w:rFonts w:ascii="Calibri" w:eastAsia="Calibri" w:hAnsi="Calibri" w:cs="Calibri"/>
          <w:b/>
          <w:bCs/>
          <w:i/>
          <w:iCs/>
          <w:sz w:val="24"/>
          <w:szCs w:val="24"/>
        </w:rPr>
        <w:t xml:space="preserve">trackers </w:t>
      </w:r>
      <w:r>
        <w:rPr>
          <w:rFonts w:ascii="Calibri" w:eastAsia="Calibri" w:hAnsi="Calibri" w:cs="Calibri"/>
          <w:b/>
          <w:bCs/>
          <w:sz w:val="24"/>
          <w:szCs w:val="24"/>
        </w:rPr>
        <w:t>de hábitos</w:t>
      </w:r>
    </w:p>
    <w:p w14:paraId="4018C792" w14:textId="77777777" w:rsidR="000F6CF6" w:rsidRDefault="00000000">
      <w:pPr>
        <w:spacing w:before="240" w:after="240"/>
        <w:jc w:val="both"/>
        <w:rPr>
          <w:rFonts w:ascii="Calibri" w:eastAsia="Calibri" w:hAnsi="Calibri" w:cs="Calibri"/>
          <w:sz w:val="24"/>
          <w:szCs w:val="24"/>
        </w:rPr>
      </w:pPr>
      <w:r>
        <w:rPr>
          <w:rFonts w:ascii="Calibri" w:eastAsia="Calibri" w:hAnsi="Calibri" w:cs="Calibri"/>
          <w:sz w:val="24"/>
          <w:szCs w:val="24"/>
        </w:rPr>
        <w:t>Febrero es un momento perfecto para medir avances. Los “habit trackers” permiten visualizar de forma sencilla el cumplimiento de metas relacionadas con el ejercicio, la lectura o la organización personal.</w:t>
      </w:r>
    </w:p>
    <w:p w14:paraId="11AD13F8" w14:textId="77777777" w:rsidR="000F6CF6" w:rsidRDefault="00000000">
      <w:pPr>
        <w:numPr>
          <w:ilvl w:val="0"/>
          <w:numId w:val="2"/>
        </w:numPr>
        <w:spacing w:before="240" w:after="240"/>
        <w:jc w:val="both"/>
        <w:rPr>
          <w:rFonts w:ascii="Calibri" w:eastAsia="Calibri" w:hAnsi="Calibri" w:cs="Calibri"/>
          <w:b/>
          <w:bCs/>
          <w:sz w:val="24"/>
          <w:szCs w:val="24"/>
        </w:rPr>
      </w:pPr>
      <w:r>
        <w:rPr>
          <w:rFonts w:ascii="Calibri" w:eastAsia="Calibri" w:hAnsi="Calibri" w:cs="Calibri"/>
          <w:b/>
          <w:bCs/>
          <w:sz w:val="24"/>
          <w:szCs w:val="24"/>
        </w:rPr>
        <w:t xml:space="preserve">Personalizar el espacio sin perder funcionalidad </w:t>
      </w:r>
    </w:p>
    <w:p w14:paraId="37E3C219" w14:textId="77777777" w:rsidR="000F6CF6" w:rsidRDefault="00000000">
      <w:pPr>
        <w:spacing w:before="240" w:after="240"/>
        <w:jc w:val="both"/>
        <w:rPr>
          <w:rFonts w:ascii="Calibri" w:eastAsia="Calibri" w:hAnsi="Calibri" w:cs="Calibri"/>
          <w:sz w:val="24"/>
          <w:szCs w:val="24"/>
        </w:rPr>
      </w:pPr>
      <w:r>
        <w:rPr>
          <w:rFonts w:ascii="Calibri" w:eastAsia="Calibri" w:hAnsi="Calibri" w:cs="Calibri"/>
          <w:sz w:val="24"/>
          <w:szCs w:val="24"/>
        </w:rPr>
        <w:t>Añadir colores o códigos visuales puede reforzar el compromiso con el sistema y hacerlo más atractivo. No obstante, conviene tener en cuenta que algunos rotuladores de base alcohol pueden traspasar el papel si este es fino, por lo que la elección de materiales adecuados resulta determinante para un buen resultado.</w:t>
      </w:r>
    </w:p>
    <w:p w14:paraId="379A0AFB" w14:textId="77777777" w:rsidR="000F6CF6" w:rsidRDefault="00000000">
      <w:pPr>
        <w:spacing w:before="240" w:after="240"/>
        <w:jc w:val="both"/>
        <w:rPr>
          <w:rFonts w:ascii="Calibri" w:eastAsia="Calibri" w:hAnsi="Calibri" w:cs="Calibri"/>
          <w:sz w:val="24"/>
          <w:szCs w:val="24"/>
        </w:rPr>
      </w:pPr>
      <w:r>
        <w:rPr>
          <w:rFonts w:ascii="Calibri" w:eastAsia="Calibri" w:hAnsi="Calibri" w:cs="Calibri"/>
          <w:sz w:val="24"/>
          <w:szCs w:val="24"/>
        </w:rPr>
        <w:t>En definitiva, organizarse no tiene por qué ser complicado ni costoso. El método Bullet Journal permite gestionar el día a día de forma práctica y personalizada, dedicando solo unos minutos a planificar y priorizar tareas. Esta rutina mejora la productividad y ayuda a reducir el estrés, especialmente cuando se cuenta con materiales adecuados y de calidad, como los disponibles en 123tinta.es.</w:t>
      </w:r>
    </w:p>
    <w:p w14:paraId="2BA4071E" w14:textId="77777777" w:rsidR="000F6CF6" w:rsidRDefault="00000000">
      <w:pPr>
        <w:spacing w:before="240" w:after="240"/>
        <w:jc w:val="both"/>
        <w:rPr>
          <w:rFonts w:ascii="Calibri" w:eastAsia="Calibri" w:hAnsi="Calibri" w:cs="Calibri"/>
          <w:sz w:val="24"/>
          <w:szCs w:val="24"/>
        </w:rPr>
      </w:pPr>
      <w:r>
        <w:rPr>
          <w:rFonts w:ascii="Calibri" w:eastAsia="Calibri" w:hAnsi="Calibri" w:cs="Calibri"/>
          <w:sz w:val="24"/>
          <w:szCs w:val="24"/>
        </w:rPr>
        <w:t xml:space="preserve">Emplear </w:t>
      </w:r>
      <w:hyperlink r:id="rId11">
        <w:r>
          <w:rPr>
            <w:rFonts w:ascii="Calibri" w:eastAsia="Calibri" w:hAnsi="Calibri" w:cs="Calibri"/>
            <w:color w:val="1155CC"/>
            <w:sz w:val="24"/>
            <w:szCs w:val="24"/>
            <w:u w:val="single"/>
          </w:rPr>
          <w:t>rotuladores de lettering</w:t>
        </w:r>
      </w:hyperlink>
      <w:r>
        <w:rPr>
          <w:rFonts w:ascii="Calibri" w:eastAsia="Calibri" w:hAnsi="Calibri" w:cs="Calibri"/>
          <w:sz w:val="24"/>
          <w:szCs w:val="24"/>
        </w:rPr>
        <w:t xml:space="preserve"> para los títulos, </w:t>
      </w:r>
      <w:hyperlink r:id="rId12">
        <w:r>
          <w:rPr>
            <w:rFonts w:ascii="Calibri" w:eastAsia="Calibri" w:hAnsi="Calibri" w:cs="Calibri"/>
            <w:color w:val="1155CC"/>
            <w:sz w:val="24"/>
            <w:szCs w:val="24"/>
            <w:u w:val="single"/>
          </w:rPr>
          <w:t xml:space="preserve">rotuladores de punta fina </w:t>
        </w:r>
      </w:hyperlink>
      <w:r>
        <w:rPr>
          <w:rFonts w:ascii="Calibri" w:eastAsia="Calibri" w:hAnsi="Calibri" w:cs="Calibri"/>
          <w:sz w:val="24"/>
          <w:szCs w:val="24"/>
        </w:rPr>
        <w:t xml:space="preserve"> para redactar el texto o </w:t>
      </w:r>
      <w:hyperlink r:id="rId13">
        <w:r>
          <w:rPr>
            <w:rFonts w:ascii="Calibri" w:eastAsia="Calibri" w:hAnsi="Calibri" w:cs="Calibri"/>
            <w:color w:val="1155CC"/>
            <w:sz w:val="24"/>
            <w:szCs w:val="24"/>
            <w:u w:val="single"/>
          </w:rPr>
          <w:t>subrayadores pastel</w:t>
        </w:r>
      </w:hyperlink>
      <w:r>
        <w:rPr>
          <w:rFonts w:ascii="Calibri" w:eastAsia="Calibri" w:hAnsi="Calibri" w:cs="Calibri"/>
          <w:i/>
          <w:iCs/>
          <w:sz w:val="24"/>
          <w:szCs w:val="24"/>
        </w:rPr>
        <w:t xml:space="preserve"> </w:t>
      </w:r>
      <w:r>
        <w:rPr>
          <w:rFonts w:ascii="Calibri" w:eastAsia="Calibri" w:hAnsi="Calibri" w:cs="Calibri"/>
          <w:sz w:val="24"/>
          <w:szCs w:val="24"/>
        </w:rPr>
        <w:t>y</w:t>
      </w:r>
      <w:r>
        <w:rPr>
          <w:rFonts w:ascii="Calibri" w:eastAsia="Calibri" w:hAnsi="Calibri" w:cs="Calibri"/>
          <w:i/>
          <w:iCs/>
          <w:sz w:val="24"/>
          <w:szCs w:val="24"/>
        </w:rPr>
        <w:t xml:space="preserve"> </w:t>
      </w:r>
      <w:hyperlink r:id="rId14">
        <w:r>
          <w:rPr>
            <w:rFonts w:ascii="Calibri" w:eastAsia="Calibri" w:hAnsi="Calibri" w:cs="Calibri"/>
            <w:i/>
            <w:iCs/>
            <w:color w:val="1155CC"/>
            <w:sz w:val="24"/>
            <w:szCs w:val="24"/>
            <w:u w:val="single"/>
          </w:rPr>
          <w:t xml:space="preserve">post-its </w:t>
        </w:r>
      </w:hyperlink>
      <w:hyperlink r:id="rId15">
        <w:r>
          <w:rPr>
            <w:rFonts w:ascii="Calibri" w:eastAsia="Calibri" w:hAnsi="Calibri" w:cs="Calibri"/>
            <w:color w:val="1155CC"/>
            <w:sz w:val="24"/>
            <w:szCs w:val="24"/>
            <w:u w:val="single"/>
          </w:rPr>
          <w:t>marcapáginas</w:t>
        </w:r>
      </w:hyperlink>
      <w:r>
        <w:rPr>
          <w:rFonts w:ascii="Calibri" w:eastAsia="Calibri" w:hAnsi="Calibri" w:cs="Calibri"/>
          <w:sz w:val="24"/>
          <w:szCs w:val="24"/>
        </w:rPr>
        <w:t xml:space="preserve"> facilitan la organización y convierte la planificación en un proceso más eficaz.</w:t>
      </w:r>
    </w:p>
    <w:p w14:paraId="4EB1CBC3" w14:textId="77777777" w:rsidR="000F6CF6" w:rsidRDefault="00000000">
      <w:pPr>
        <w:spacing w:before="240" w:after="240"/>
        <w:jc w:val="both"/>
        <w:rPr>
          <w:rFonts w:ascii="Calibri" w:eastAsia="Calibri" w:hAnsi="Calibri" w:cs="Calibri"/>
          <w:b/>
          <w:bCs/>
        </w:rPr>
      </w:pPr>
      <w:r>
        <w:rPr>
          <w:rFonts w:ascii="Calibri" w:eastAsia="Calibri" w:hAnsi="Calibri" w:cs="Calibri"/>
          <w:b/>
          <w:bCs/>
          <w:i/>
          <w:iCs/>
          <w:sz w:val="20"/>
          <w:szCs w:val="20"/>
          <w:u w:val="single"/>
        </w:rPr>
        <w:t>Sobre 123tinta</w:t>
      </w:r>
    </w:p>
    <w:p w14:paraId="15E2C4B8" w14:textId="77777777" w:rsidR="000F6CF6" w:rsidRDefault="00000000">
      <w:pPr>
        <w:spacing w:after="200"/>
        <w:jc w:val="both"/>
        <w:rPr>
          <w:rFonts w:ascii="Calibri" w:eastAsia="Calibri" w:hAnsi="Calibri" w:cs="Calibri"/>
          <w:sz w:val="20"/>
          <w:szCs w:val="20"/>
        </w:rPr>
      </w:pPr>
      <w:r>
        <w:rPr>
          <w:rFonts w:ascii="Calibri" w:eastAsia="Calibri" w:hAnsi="Calibri" w:cs="Calibri"/>
          <w:sz w:val="20"/>
          <w:szCs w:val="20"/>
        </w:rPr>
        <w:t xml:space="preserve">123tinta.es nace en junio de 2021 como el ecommerce de consumibles para impresoras con la mejor relación calidad-precio del mercado. La empresa española, con sede central en Azuqueca de Henares (Guadalajara), tiene como enfoque principal la industria de los consumibles para impresoras. </w:t>
      </w:r>
    </w:p>
    <w:p w14:paraId="37A18842" w14:textId="77777777" w:rsidR="000F6CF6" w:rsidRDefault="00000000">
      <w:pPr>
        <w:spacing w:after="200"/>
        <w:jc w:val="both"/>
        <w:rPr>
          <w:rFonts w:ascii="Calibri" w:eastAsia="Calibri" w:hAnsi="Calibri" w:cs="Calibri"/>
          <w:sz w:val="20"/>
          <w:szCs w:val="20"/>
        </w:rPr>
      </w:pPr>
      <w:r>
        <w:rPr>
          <w:rFonts w:ascii="Calibri" w:eastAsia="Calibri" w:hAnsi="Calibri" w:cs="Calibri"/>
          <w:sz w:val="20"/>
          <w:szCs w:val="20"/>
        </w:rPr>
        <w:t>Ofrece los cartuchos de tinta y tóner con la garantía de precio más bajo tanto para usuario particular como para empresas. Asimismo, cuentan con un amplio catálogo de artículos de papelería y material escolar. Dispone de un servicio de atención al cliente pre y posventa y un servicio de entrega rápida en 24 horas.</w:t>
      </w:r>
    </w:p>
    <w:p w14:paraId="4AF51568" w14:textId="77777777" w:rsidR="000F6CF6" w:rsidRDefault="00000000">
      <w:pPr>
        <w:spacing w:before="200" w:line="240" w:lineRule="auto"/>
        <w:jc w:val="both"/>
        <w:rPr>
          <w:rFonts w:ascii="Calibri" w:eastAsia="Calibri" w:hAnsi="Calibri" w:cs="Calibri"/>
          <w:sz w:val="20"/>
          <w:szCs w:val="20"/>
        </w:rPr>
      </w:pPr>
      <w:r>
        <w:rPr>
          <w:rFonts w:ascii="Calibri" w:eastAsia="Calibri" w:hAnsi="Calibri" w:cs="Calibri"/>
          <w:b/>
          <w:bCs/>
          <w:sz w:val="20"/>
          <w:szCs w:val="20"/>
        </w:rPr>
        <w:t>Más información</w:t>
      </w:r>
      <w:r>
        <w:rPr>
          <w:rFonts w:ascii="Calibri" w:eastAsia="Calibri" w:hAnsi="Calibri" w:cs="Calibri"/>
          <w:sz w:val="20"/>
          <w:szCs w:val="20"/>
        </w:rPr>
        <w:t>:</w:t>
      </w:r>
    </w:p>
    <w:p w14:paraId="374310EC" w14:textId="77777777" w:rsidR="000F6CF6" w:rsidRDefault="00000000">
      <w:pPr>
        <w:spacing w:before="200" w:after="240" w:line="240" w:lineRule="auto"/>
        <w:jc w:val="both"/>
        <w:rPr>
          <w:rFonts w:ascii="Calibri" w:eastAsia="Calibri" w:hAnsi="Calibri" w:cs="Calibri"/>
          <w:sz w:val="20"/>
          <w:szCs w:val="20"/>
        </w:rPr>
      </w:pPr>
      <w:r>
        <w:rPr>
          <w:rFonts w:ascii="Calibri" w:eastAsia="Calibri" w:hAnsi="Calibri" w:cs="Calibri"/>
          <w:b/>
          <w:bCs/>
          <w:sz w:val="20"/>
          <w:szCs w:val="20"/>
          <w:u w:val="single"/>
        </w:rPr>
        <w:t>Actitud de Comunicación</w:t>
      </w:r>
      <w:r>
        <w:rPr>
          <w:rFonts w:ascii="Calibri" w:eastAsia="Calibri" w:hAnsi="Calibri" w:cs="Calibri"/>
          <w:sz w:val="20"/>
          <w:szCs w:val="20"/>
        </w:rPr>
        <w:t xml:space="preserve"> </w:t>
      </w:r>
    </w:p>
    <w:p w14:paraId="22ECF4EB" w14:textId="77777777" w:rsidR="000F6CF6" w:rsidRDefault="00000000">
      <w:pPr>
        <w:spacing w:before="240" w:after="240" w:line="240" w:lineRule="auto"/>
        <w:jc w:val="both"/>
        <w:rPr>
          <w:rFonts w:ascii="Calibri" w:eastAsia="Calibri" w:hAnsi="Calibri" w:cs="Calibri"/>
          <w:sz w:val="20"/>
          <w:szCs w:val="20"/>
        </w:rPr>
      </w:pPr>
      <w:r>
        <w:rPr>
          <w:rFonts w:ascii="Calibri" w:eastAsia="Calibri" w:hAnsi="Calibri" w:cs="Calibri"/>
          <w:sz w:val="20"/>
          <w:szCs w:val="20"/>
        </w:rPr>
        <w:t>Virginia Ayala - 913 022 860</w:t>
      </w:r>
    </w:p>
    <w:p w14:paraId="777CA446" w14:textId="77777777" w:rsidR="000F6CF6" w:rsidRDefault="00000000">
      <w:pPr>
        <w:spacing w:before="240" w:after="240" w:line="240" w:lineRule="auto"/>
        <w:jc w:val="both"/>
        <w:rPr>
          <w:rFonts w:ascii="Calibri" w:eastAsia="Calibri" w:hAnsi="Calibri" w:cs="Calibri"/>
          <w:sz w:val="20"/>
          <w:szCs w:val="20"/>
        </w:rPr>
      </w:pPr>
      <w:hyperlink r:id="rId16">
        <w:r>
          <w:rPr>
            <w:rFonts w:ascii="Calibri" w:eastAsia="Calibri" w:hAnsi="Calibri" w:cs="Calibri"/>
            <w:color w:val="1155CC"/>
            <w:sz w:val="20"/>
            <w:szCs w:val="20"/>
            <w:u w:val="single"/>
          </w:rPr>
          <w:t>virginia.ayala@actitud.es</w:t>
        </w:r>
      </w:hyperlink>
    </w:p>
    <w:p w14:paraId="03B70785" w14:textId="77777777" w:rsidR="000F6CF6" w:rsidRDefault="000F6CF6">
      <w:pPr>
        <w:spacing w:before="240" w:after="240" w:line="240" w:lineRule="auto"/>
        <w:jc w:val="both"/>
        <w:rPr>
          <w:rFonts w:ascii="Calibri" w:eastAsia="Calibri" w:hAnsi="Calibri" w:cs="Calibri"/>
          <w:sz w:val="20"/>
          <w:szCs w:val="20"/>
        </w:rPr>
      </w:pPr>
    </w:p>
    <w:sectPr w:rsidR="000F6CF6">
      <w:headerReference w:type="even" r:id="rId17"/>
      <w:headerReference w:type="default" r:id="rId18"/>
      <w:footerReference w:type="even" r:id="rId19"/>
      <w:footerReference w:type="default" r:id="rId20"/>
      <w:headerReference w:type="first" r:id="rId21"/>
      <w:footerReference w:type="first" r:id="rId22"/>
      <w:pgSz w:w="11906" w:h="16838"/>
      <w:pgMar w:top="1700" w:right="1598" w:bottom="1700" w:left="159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A88BF4" w14:textId="77777777" w:rsidR="00D259F3" w:rsidRDefault="00D259F3">
      <w:pPr>
        <w:spacing w:line="240" w:lineRule="auto"/>
      </w:pPr>
      <w:r>
        <w:separator/>
      </w:r>
    </w:p>
  </w:endnote>
  <w:endnote w:type="continuationSeparator" w:id="0">
    <w:p w14:paraId="4855AA45" w14:textId="77777777" w:rsidR="00D259F3" w:rsidRDefault="00D259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C3FD898-F92C-9A41-8FF6-2BCF6498835E}"/>
  </w:font>
  <w:font w:name="Arial">
    <w:panose1 w:val="020B0604020202020204"/>
    <w:charset w:val="00"/>
    <w:family w:val="swiss"/>
    <w:pitch w:val="variable"/>
    <w:sig w:usb0="E0002AFF" w:usb1="C0007843" w:usb2="00000009" w:usb3="00000000" w:csb0="000001FF" w:csb1="00000000"/>
    <w:embedRegular r:id="rId2" w:fontKey="{D97D2D3A-F627-C449-A950-B3AEBD1A455C}"/>
    <w:embedItalic r:id="rId3" w:fontKey="{7E3F584A-1A52-0449-8996-0FEA03E52CF9}"/>
    <w:embedBoldItalic r:id="rId4" w:fontKey="{F7A52720-F42A-1547-866C-B9D3CC5B72E5}"/>
  </w:font>
  <w:font w:name="Calibri">
    <w:panose1 w:val="020F0502020204030204"/>
    <w:charset w:val="00"/>
    <w:family w:val="swiss"/>
    <w:pitch w:val="variable"/>
    <w:sig w:usb0="E0002AFF" w:usb1="C000247B" w:usb2="00000009" w:usb3="00000000" w:csb0="000001FF" w:csb1="00000000"/>
    <w:embedRegular r:id="rId5" w:fontKey="{84F4212C-0083-6343-B8F4-6175178E44DD}"/>
    <w:embedBold r:id="rId6" w:fontKey="{8C365F9F-D59A-4D41-BF79-59ED7A30BF60}"/>
    <w:embedItalic r:id="rId7" w:fontKey="{A066A249-96C1-A94C-8C5F-8C2B0CC5B824}"/>
    <w:embedBoldItalic r:id="rId8" w:fontKey="{74EFE524-983F-104B-8F98-49F74A9C61AB}"/>
  </w:font>
  <w:font w:name="Cambria">
    <w:panose1 w:val="02040503050406030204"/>
    <w:charset w:val="00"/>
    <w:family w:val="roman"/>
    <w:notTrueType/>
    <w:pitch w:val="variable"/>
    <w:sig w:usb0="E00002FF" w:usb1="400004FF" w:usb2="00000000" w:usb3="00000000" w:csb0="0000019F" w:csb1="00000000"/>
    <w:embedRegular r:id="rId9" w:fontKey="{B4B17CE4-0DF2-FD40-8029-CB12B0A950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8AF6E" w14:textId="77777777" w:rsidR="00B02F90" w:rsidRDefault="00B02F9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F027" w14:textId="77777777" w:rsidR="00B02F90" w:rsidRDefault="00B02F9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9647F" w14:textId="77777777" w:rsidR="00B02F90" w:rsidRDefault="00B02F9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0EBE41" w14:textId="77777777" w:rsidR="00D259F3" w:rsidRDefault="00D259F3">
      <w:pPr>
        <w:spacing w:line="240" w:lineRule="auto"/>
      </w:pPr>
      <w:r>
        <w:separator/>
      </w:r>
    </w:p>
  </w:footnote>
  <w:footnote w:type="continuationSeparator" w:id="0">
    <w:p w14:paraId="65E1A77D" w14:textId="77777777" w:rsidR="00D259F3" w:rsidRDefault="00D259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AE0D6" w14:textId="77777777" w:rsidR="00B02F90" w:rsidRDefault="00B02F9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9B08E" w14:textId="77777777" w:rsidR="000F6CF6" w:rsidRDefault="00000000">
    <w:r>
      <w:rPr>
        <w:noProof/>
      </w:rPr>
      <w:drawing>
        <wp:anchor distT="0" distB="0" distL="0" distR="0" simplePos="0" relativeHeight="251658240" behindDoc="1" locked="0" layoutInCell="1" hidden="0" allowOverlap="1" wp14:anchorId="24CAB47F" wp14:editId="0F7B2E60">
          <wp:simplePos x="0" y="0"/>
          <wp:positionH relativeFrom="column">
            <wp:posOffset>4171950</wp:posOffset>
          </wp:positionH>
          <wp:positionV relativeFrom="paragraph">
            <wp:posOffset>-352424</wp:posOffset>
          </wp:positionV>
          <wp:extent cx="1400962" cy="69613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23179" t="-42718" r="-7861" b="-12583"/>
                  <a:stretch>
                    <a:fillRect/>
                  </a:stretch>
                </pic:blipFill>
                <pic:spPr>
                  <a:xfrm>
                    <a:off x="0" y="0"/>
                    <a:ext cx="1400962" cy="6961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64091" w14:textId="77777777" w:rsidR="00B02F90" w:rsidRDefault="00B02F9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513D36"/>
    <w:multiLevelType w:val="multilevel"/>
    <w:tmpl w:val="09428A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D8A5936"/>
    <w:multiLevelType w:val="multilevel"/>
    <w:tmpl w:val="49B04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6458061">
    <w:abstractNumId w:val="1"/>
  </w:num>
  <w:num w:numId="2" w16cid:durableId="12156569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CF6"/>
    <w:rsid w:val="000F6CF6"/>
    <w:rsid w:val="00683EE6"/>
    <w:rsid w:val="00766FEF"/>
    <w:rsid w:val="00B02F90"/>
    <w:rsid w:val="00D259F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118D01"/>
  <w15:docId w15:val="{C7A7B163-F776-4545-8D28-212292C21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00" w:after="200" w:line="240" w:lineRule="auto"/>
      <w:ind w:left="425" w:right="-375" w:hanging="360"/>
      <w:jc w:val="both"/>
      <w:outlineLvl w:val="0"/>
    </w:pPr>
    <w:rPr>
      <w:rFonts w:ascii="Calibri" w:eastAsia="Calibri" w:hAnsi="Calibri" w:cs="Calibri"/>
      <w:b/>
      <w:bCs/>
      <w:i/>
      <w:iCs/>
      <w:sz w:val="24"/>
      <w:szCs w:val="24"/>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B02F90"/>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B02F90"/>
  </w:style>
  <w:style w:type="paragraph" w:styleId="Piedepgina">
    <w:name w:val="footer"/>
    <w:basedOn w:val="Normal"/>
    <w:link w:val="PiedepginaCar"/>
    <w:uiPriority w:val="99"/>
    <w:unhideWhenUsed/>
    <w:rsid w:val="00B02F90"/>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B02F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123tinta.es/123inkt-Pack-ahorro-6-subrayadores-de-colores-123tinta-i103536-t61098.html"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123tinta.es" TargetMode="External"/><Relationship Id="rId12" Type="http://schemas.openxmlformats.org/officeDocument/2006/relationships/hyperlink" Target="https://www.123tinta.es/Material-de-oficina/Boligrafos/Rotuladores-de-punta-fina/Marca-123tinta-0-45-mm-p2492711.html"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virginia.ayala@actitud.es"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123tinta.es/Staedtler-3001-Rotuladores-con-punta-de-pincel-doble-18-unidades-3001TB18-i53768-t7437058.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123tinta.es/123inkt-123tinta-marcapaginas-de-colores-45-x-8-mm-8-x-20-pestanas-21401C-i73281-t76450.html" TargetMode="External"/><Relationship Id="rId23" Type="http://schemas.openxmlformats.org/officeDocument/2006/relationships/fontTable" Target="fontTable.xml"/><Relationship Id="rId10" Type="http://schemas.openxmlformats.org/officeDocument/2006/relationships/hyperlink" Target="https://www.123tinta.es/Papel-p12453.html"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123tinta.es/" TargetMode="External"/><Relationship Id="rId14" Type="http://schemas.openxmlformats.org/officeDocument/2006/relationships/hyperlink" Target="https://www.123tinta.es/123inkt-123tinta-marcapaginas-de-colores-45-x-8-mm-8-x-20-pestanas-21401C-i73281-t76450.html"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773</Words>
  <Characters>4212</Characters>
  <Application>Microsoft Office Word</Application>
  <DocSecurity>0</DocSecurity>
  <Lines>81</Lines>
  <Paragraphs>31</Paragraphs>
  <ScaleCrop>false</ScaleCrop>
  <Company/>
  <LinksUpToDate>false</LinksUpToDate>
  <CharactersWithSpaces>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Héctor Palacio Vived</cp:lastModifiedBy>
  <cp:revision>5</cp:revision>
  <dcterms:created xsi:type="dcterms:W3CDTF">2026-02-20T11:42:00Z</dcterms:created>
  <dcterms:modified xsi:type="dcterms:W3CDTF">2026-02-20T11:42:00Z</dcterms:modified>
</cp:coreProperties>
</file>