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alibri" w:cs="Calibri" w:eastAsia="Calibri" w:hAnsi="Calibri"/>
          <w:i w:val="1"/>
        </w:rPr>
      </w:pPr>
      <w:bookmarkStart w:colFirst="0" w:colLast="0" w:name="_heading=h.dv56h0aiurvz" w:id="0"/>
      <w:bookmarkEnd w:id="0"/>
      <w:r w:rsidDel="00000000" w:rsidR="00000000" w:rsidRPr="00000000">
        <w:rPr>
          <w:rFonts w:ascii="Calibri" w:cs="Calibri" w:eastAsia="Calibri" w:hAnsi="Calibri"/>
          <w:i w:val="1"/>
          <w:rtl w:val="0"/>
        </w:rPr>
        <w:t xml:space="preserve">En la gala de Turismo de Negocios organizada por IBTA (Asociación Ibérica de Viajes de Negocios) que reconoce la excelencia en viajes corporativos,</w:t>
      </w:r>
    </w:p>
    <w:p w:rsidR="00000000" w:rsidDel="00000000" w:rsidP="00000000" w:rsidRDefault="00000000" w:rsidRPr="00000000" w14:paraId="00000002">
      <w:pPr>
        <w:spacing w:line="240" w:lineRule="auto"/>
        <w:rPr>
          <w:rFonts w:ascii="Calibri" w:cs="Calibri" w:eastAsia="Calibri" w:hAnsi="Calibri"/>
          <w:i w:val="1"/>
        </w:rPr>
      </w:pPr>
      <w:bookmarkStart w:colFirst="0" w:colLast="0" w:name="_heading=h.wr9sm8oxmnpc" w:id="1"/>
      <w:bookmarkEnd w:id="1"/>
      <w:r w:rsidDel="00000000" w:rsidR="00000000" w:rsidRPr="00000000">
        <w:rPr>
          <w:rtl w:val="0"/>
        </w:rPr>
      </w:r>
    </w:p>
    <w:p w:rsidR="00000000" w:rsidDel="00000000" w:rsidP="00000000" w:rsidRDefault="00000000" w:rsidRPr="00000000" w14:paraId="00000003">
      <w:pPr>
        <w:spacing w:after="240" w:before="240"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Froneri recibe el reconocimiento por su innovación en la gestión de sus viajes corporativos con Consultia Business Travel</w:t>
      </w:r>
    </w:p>
    <w:p w:rsidR="00000000" w:rsidDel="00000000" w:rsidP="00000000" w:rsidRDefault="00000000" w:rsidRPr="00000000" w14:paraId="00000004">
      <w:pPr>
        <w:numPr>
          <w:ilvl w:val="0"/>
          <w:numId w:val="1"/>
        </w:numPr>
        <w:spacing w:before="240"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compañía ha logrado reducir hasta un 90% los tiempos administrativos y un 20% los costes en desplazamientos gracias a la implantación de Destinux, la solución tecnológica de Consultia Business Travel</w:t>
      </w:r>
      <w:r w:rsidDel="00000000" w:rsidR="00000000" w:rsidRPr="00000000">
        <w:rPr>
          <w:rtl w:val="0"/>
        </w:rPr>
        <w:t xml:space="preserve">          </w:t>
      </w:r>
      <w:r w:rsidDel="00000000" w:rsidR="00000000" w:rsidRPr="00000000">
        <w:rPr>
          <w:rFonts w:ascii="Calibri" w:cs="Calibri" w:eastAsia="Calibri" w:hAnsi="Calibri"/>
          <w:b w:val="1"/>
          <w:sz w:val="24"/>
          <w:szCs w:val="24"/>
          <w:rtl w:val="0"/>
        </w:rPr>
        <w:br w:type="textWrapping"/>
      </w:r>
    </w:p>
    <w:p w:rsidR="00000000" w:rsidDel="00000000" w:rsidP="00000000" w:rsidRDefault="00000000" w:rsidRPr="00000000" w14:paraId="00000005">
      <w:pPr>
        <w:spacing w:after="200" w:line="24" w:lineRule="auto"/>
        <w:jc w:val="both"/>
        <w:rPr>
          <w:rFonts w:ascii="Calibri" w:cs="Calibri" w:eastAsia="Calibri" w:hAnsi="Calibri"/>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spacing w:after="200" w:lineRule="auto"/>
        <w:jc w:val="both"/>
        <w:rPr>
          <w:rFonts w:ascii="Calibri" w:cs="Calibri" w:eastAsia="Calibri" w:hAnsi="Calibri"/>
          <w:b w:val="1"/>
        </w:rPr>
      </w:pPr>
      <w:r w:rsidDel="00000000" w:rsidR="00000000" w:rsidRPr="00000000">
        <w:rPr/>
        <w:drawing>
          <wp:inline distB="0" distT="0" distL="0" distR="0">
            <wp:extent cx="5530850" cy="3686175"/>
            <wp:effectExtent b="0" l="0" r="0" t="0"/>
            <wp:docPr id="3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530850" cy="36861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24 de octubre de 2025.</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b w:val="1"/>
            <w:color w:val="1155cc"/>
            <w:u w:val="single"/>
            <w:rtl w:val="0"/>
          </w:rPr>
          <w:t xml:space="preserve">Froneri</w:t>
        </w:r>
      </w:hyperlink>
      <w:r w:rsidDel="00000000" w:rsidR="00000000" w:rsidRPr="00000000">
        <w:rPr>
          <w:rFonts w:ascii="Calibri" w:cs="Calibri" w:eastAsia="Calibri" w:hAnsi="Calibri"/>
          <w:rtl w:val="0"/>
        </w:rPr>
        <w:t xml:space="preserve">, empresa líder del sector de helados fruto de la fusión entre </w:t>
      </w:r>
      <w:r w:rsidDel="00000000" w:rsidR="00000000" w:rsidRPr="00000000">
        <w:rPr>
          <w:rFonts w:ascii="Calibri" w:cs="Calibri" w:eastAsia="Calibri" w:hAnsi="Calibri"/>
          <w:b w:val="1"/>
          <w:rtl w:val="0"/>
        </w:rPr>
        <w:t xml:space="preserve">Nestlé y R&amp;R</w:t>
      </w:r>
      <w:r w:rsidDel="00000000" w:rsidR="00000000" w:rsidRPr="00000000">
        <w:rPr>
          <w:rFonts w:ascii="Calibri" w:cs="Calibri" w:eastAsia="Calibri" w:hAnsi="Calibri"/>
          <w:rtl w:val="0"/>
        </w:rPr>
        <w:t xml:space="preserve">, recibe el premio </w:t>
      </w:r>
      <w:r w:rsidDel="00000000" w:rsidR="00000000" w:rsidRPr="00000000">
        <w:rPr>
          <w:rFonts w:ascii="Calibri" w:cs="Calibri" w:eastAsia="Calibri" w:hAnsi="Calibri"/>
          <w:b w:val="1"/>
          <w:rtl w:val="0"/>
        </w:rPr>
        <w:t xml:space="preserve">Premio Best Practice Control de Gestión por la</w:t>
      </w:r>
      <w:hyperlink r:id="rId9">
        <w:r w:rsidDel="00000000" w:rsidR="00000000" w:rsidRPr="00000000">
          <w:rPr>
            <w:rFonts w:ascii="Calibri" w:cs="Calibri" w:eastAsia="Calibri" w:hAnsi="Calibri"/>
            <w:b w:val="1"/>
            <w:color w:val="1155cc"/>
            <w:u w:val="single"/>
            <w:rtl w:val="0"/>
          </w:rPr>
          <w:t xml:space="preserve"> Asociación Ibérica de Viajes de Negocios (IBTA)</w:t>
        </w:r>
      </w:hyperlink>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gracias a su apuesta por la </w:t>
      </w:r>
      <w:r w:rsidDel="00000000" w:rsidR="00000000" w:rsidRPr="00000000">
        <w:rPr>
          <w:rFonts w:ascii="Calibri" w:cs="Calibri" w:eastAsia="Calibri" w:hAnsi="Calibri"/>
          <w:b w:val="1"/>
          <w:rtl w:val="0"/>
        </w:rPr>
        <w:t xml:space="preserve">digitalización e innovación en la gestión de los viajes corporativos</w:t>
      </w:r>
      <w:r w:rsidDel="00000000" w:rsidR="00000000" w:rsidRPr="00000000">
        <w:rPr>
          <w:rFonts w:ascii="Calibri" w:cs="Calibri" w:eastAsia="Calibri" w:hAnsi="Calibri"/>
          <w:rtl w:val="0"/>
        </w:rPr>
        <w:t xml:space="preserve">.</w:t>
      </w:r>
    </w:p>
    <w:p w:rsidR="00000000" w:rsidDel="00000000" w:rsidP="00000000" w:rsidRDefault="00000000" w:rsidRPr="00000000" w14:paraId="00000008">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El galardón, entregado durante la </w:t>
      </w:r>
      <w:r w:rsidDel="00000000" w:rsidR="00000000" w:rsidRPr="00000000">
        <w:rPr>
          <w:rFonts w:ascii="Calibri" w:cs="Calibri" w:eastAsia="Calibri" w:hAnsi="Calibri"/>
          <w:b w:val="1"/>
          <w:rtl w:val="0"/>
        </w:rPr>
        <w:t xml:space="preserve">Gala del Turismo de Negocios – Premios Business Travel 2025</w:t>
      </w:r>
      <w:r w:rsidDel="00000000" w:rsidR="00000000" w:rsidRPr="00000000">
        <w:rPr>
          <w:rFonts w:ascii="Calibri" w:cs="Calibri" w:eastAsia="Calibri" w:hAnsi="Calibri"/>
          <w:rtl w:val="0"/>
        </w:rPr>
        <w:t xml:space="preserve">, celebrada en el hotel The Palace Madrid, distingue las </w:t>
      </w:r>
      <w:r w:rsidDel="00000000" w:rsidR="00000000" w:rsidRPr="00000000">
        <w:rPr>
          <w:rFonts w:ascii="Calibri" w:cs="Calibri" w:eastAsia="Calibri" w:hAnsi="Calibri"/>
          <w:b w:val="1"/>
          <w:rtl w:val="0"/>
        </w:rPr>
        <w:t xml:space="preserve">mejores iniciativas en eficiencia, innovación y excelencia en la gestión de viajes de empresa</w:t>
      </w:r>
      <w:r w:rsidDel="00000000" w:rsidR="00000000" w:rsidRPr="00000000">
        <w:rPr>
          <w:rFonts w:ascii="Calibri" w:cs="Calibri" w:eastAsia="Calibri" w:hAnsi="Calibri"/>
          <w:rtl w:val="0"/>
        </w:rPr>
        <w:t xml:space="preserve">.</w:t>
      </w:r>
    </w:p>
    <w:p w:rsidR="00000000" w:rsidDel="00000000" w:rsidP="00000000" w:rsidRDefault="00000000" w:rsidRPr="00000000" w14:paraId="00000009">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Gracias a la implementación de </w:t>
      </w:r>
      <w:hyperlink r:id="rId10">
        <w:r w:rsidDel="00000000" w:rsidR="00000000" w:rsidRPr="00000000">
          <w:rPr>
            <w:rFonts w:ascii="Calibri" w:cs="Calibri" w:eastAsia="Calibri" w:hAnsi="Calibri"/>
            <w:b w:val="1"/>
            <w:color w:val="1155cc"/>
            <w:u w:val="single"/>
            <w:rtl w:val="0"/>
          </w:rPr>
          <w:t xml:space="preserve">Destinux</w:t>
        </w:r>
      </w:hyperlink>
      <w:r w:rsidDel="00000000" w:rsidR="00000000" w:rsidRPr="00000000">
        <w:rPr>
          <w:rFonts w:ascii="Calibri" w:cs="Calibri" w:eastAsia="Calibri" w:hAnsi="Calibri"/>
          <w:rtl w:val="0"/>
        </w:rPr>
        <w:t xml:space="preserve">, la solución integral desarrollada por </w:t>
      </w:r>
      <w:hyperlink r:id="rId11">
        <w:r w:rsidDel="00000000" w:rsidR="00000000" w:rsidRPr="00000000">
          <w:rPr>
            <w:rFonts w:ascii="Calibri" w:cs="Calibri" w:eastAsia="Calibri" w:hAnsi="Calibri"/>
            <w:b w:val="1"/>
            <w:color w:val="1155cc"/>
            <w:u w:val="single"/>
            <w:rtl w:val="0"/>
          </w:rPr>
          <w:t xml:space="preserve">Consultia Business Travel</w:t>
        </w:r>
      </w:hyperlink>
      <w:r w:rsidDel="00000000" w:rsidR="00000000" w:rsidRPr="00000000">
        <w:rPr>
          <w:rFonts w:ascii="Calibri" w:cs="Calibri" w:eastAsia="Calibri" w:hAnsi="Calibri"/>
          <w:rtl w:val="0"/>
        </w:rPr>
        <w:t xml:space="preserve">, Froneri ha transformado por completo su modelo de gestión de viajes, centralizando reservas, control y facturación en un único entorno en la nube. Esta digitalización ha permitido a la compañía reducir en un 90% los tiempos administrativos y optimizar en un 20% los costes destinados a los viajes profesionales.</w:t>
      </w:r>
    </w:p>
    <w:p w:rsidR="00000000" w:rsidDel="00000000" w:rsidP="00000000" w:rsidRDefault="00000000" w:rsidRPr="00000000" w14:paraId="0000000A">
      <w:pPr>
        <w:spacing w:after="240" w:before="240" w:lineRule="auto"/>
        <w:jc w:val="both"/>
        <w:rPr>
          <w:rFonts w:ascii="Calibri" w:cs="Calibri" w:eastAsia="Calibri" w:hAnsi="Calibri"/>
          <w:i w:val="1"/>
        </w:rPr>
      </w:pPr>
      <w:r w:rsidDel="00000000" w:rsidR="00000000" w:rsidRPr="00000000">
        <w:rPr>
          <w:rFonts w:ascii="Calibri" w:cs="Calibri" w:eastAsia="Calibri" w:hAnsi="Calibri"/>
          <w:rtl w:val="0"/>
        </w:rPr>
        <w:t xml:space="preserve">El reconocimiento fue recogido por </w:t>
      </w:r>
      <w:r w:rsidDel="00000000" w:rsidR="00000000" w:rsidRPr="00000000">
        <w:rPr>
          <w:rFonts w:ascii="Calibri" w:cs="Calibri" w:eastAsia="Calibri" w:hAnsi="Calibri"/>
          <w:b w:val="1"/>
          <w:rtl w:val="0"/>
        </w:rPr>
        <w:t xml:space="preserve">Helena Muñoz</w:t>
      </w:r>
      <w:r w:rsidDel="00000000" w:rsidR="00000000" w:rsidRPr="00000000">
        <w:rPr>
          <w:rFonts w:ascii="Calibri" w:cs="Calibri" w:eastAsia="Calibri" w:hAnsi="Calibri"/>
          <w:rtl w:val="0"/>
        </w:rPr>
        <w:t xml:space="preserve">, Travel Manager de Froneri que señaló que “</w:t>
      </w:r>
      <w:r w:rsidDel="00000000" w:rsidR="00000000" w:rsidRPr="00000000">
        <w:rPr>
          <w:rFonts w:ascii="Calibri" w:cs="Calibri" w:eastAsia="Calibri" w:hAnsi="Calibri"/>
          <w:i w:val="1"/>
          <w:rtl w:val="0"/>
        </w:rPr>
        <w:t xml:space="preserve">antes de trabajar con Consultia, teníamos sistemas que no se adaptaban a nuestras necesidades. Los procesos eran manuales, la información se encontraba dispersa y nos resultaba complicado tener una visión clara de los costes y del cumplimiento de nuestras políticas de viaje. Con la implementación de </w:t>
      </w:r>
      <w:r w:rsidDel="00000000" w:rsidR="00000000" w:rsidRPr="00000000">
        <w:rPr>
          <w:rFonts w:ascii="Calibri" w:cs="Calibri" w:eastAsia="Calibri" w:hAnsi="Calibri"/>
          <w:b w:val="1"/>
          <w:i w:val="1"/>
          <w:rtl w:val="0"/>
        </w:rPr>
        <w:t xml:space="preserve">Destinux</w:t>
      </w:r>
      <w:r w:rsidDel="00000000" w:rsidR="00000000" w:rsidRPr="00000000">
        <w:rPr>
          <w:rFonts w:ascii="Calibri" w:cs="Calibri" w:eastAsia="Calibri" w:hAnsi="Calibri"/>
          <w:i w:val="1"/>
          <w:rtl w:val="0"/>
        </w:rPr>
        <w:t xml:space="preserve">, conseguimos </w:t>
      </w:r>
      <w:r w:rsidDel="00000000" w:rsidR="00000000" w:rsidRPr="00000000">
        <w:rPr>
          <w:rFonts w:ascii="Calibri" w:cs="Calibri" w:eastAsia="Calibri" w:hAnsi="Calibri"/>
          <w:b w:val="1"/>
          <w:i w:val="1"/>
          <w:rtl w:val="0"/>
        </w:rPr>
        <w:t xml:space="preserve">agilizar y centralizar toda la gestión de viajes</w:t>
      </w:r>
      <w:r w:rsidDel="00000000" w:rsidR="00000000" w:rsidRPr="00000000">
        <w:rPr>
          <w:rFonts w:ascii="Calibri" w:cs="Calibri" w:eastAsia="Calibri" w:hAnsi="Calibri"/>
          <w:i w:val="1"/>
          <w:rtl w:val="0"/>
        </w:rPr>
        <w:t xml:space="preserve">, consultar el estado de los desplazamientos, realizar reservas de manera autónoma y obtener </w:t>
      </w:r>
      <w:r w:rsidDel="00000000" w:rsidR="00000000" w:rsidRPr="00000000">
        <w:rPr>
          <w:rFonts w:ascii="Calibri" w:cs="Calibri" w:eastAsia="Calibri" w:hAnsi="Calibri"/>
          <w:b w:val="1"/>
          <w:i w:val="1"/>
          <w:rtl w:val="0"/>
        </w:rPr>
        <w:t xml:space="preserve">visibilidad total sobre cada viaje</w:t>
      </w:r>
      <w:r w:rsidDel="00000000" w:rsidR="00000000" w:rsidRPr="00000000">
        <w:rPr>
          <w:rFonts w:ascii="Calibri" w:cs="Calibri" w:eastAsia="Calibri" w:hAnsi="Calibri"/>
          <w:i w:val="1"/>
          <w:rtl w:val="0"/>
        </w:rPr>
        <w:t xml:space="preserve">, lo que nos ha permitido optimizar</w:t>
      </w:r>
      <w:r w:rsidDel="00000000" w:rsidR="00000000" w:rsidRPr="00000000">
        <w:rPr>
          <w:rFonts w:ascii="Calibri" w:cs="Calibri" w:eastAsia="Calibri" w:hAnsi="Calibri"/>
          <w:b w:val="1"/>
          <w:i w:val="1"/>
          <w:rtl w:val="0"/>
        </w:rPr>
        <w:t xml:space="preserve"> costes en un 20%</w:t>
      </w:r>
      <w:r w:rsidDel="00000000" w:rsidR="00000000" w:rsidRPr="00000000">
        <w:rPr>
          <w:rFonts w:ascii="Calibri" w:cs="Calibri" w:eastAsia="Calibri" w:hAnsi="Calibri"/>
          <w:i w:val="1"/>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before="240" w:lineRule="auto"/>
        <w:jc w:val="both"/>
        <w:rPr>
          <w:i w:val="1"/>
        </w:rPr>
      </w:pPr>
      <w:r w:rsidDel="00000000" w:rsidR="00000000" w:rsidRPr="00000000">
        <w:rPr>
          <w:rFonts w:ascii="Calibri" w:cs="Calibri" w:eastAsia="Calibri" w:hAnsi="Calibri"/>
          <w:rtl w:val="0"/>
        </w:rPr>
        <w:t xml:space="preserve">Según </w:t>
      </w:r>
      <w:r w:rsidDel="00000000" w:rsidR="00000000" w:rsidRPr="00000000">
        <w:rPr>
          <w:rFonts w:ascii="Calibri" w:cs="Calibri" w:eastAsia="Calibri" w:hAnsi="Calibri"/>
          <w:b w:val="1"/>
          <w:rtl w:val="0"/>
        </w:rPr>
        <w:t xml:space="preserve">Ignacio González</w:t>
      </w:r>
      <w:r w:rsidDel="00000000" w:rsidR="00000000" w:rsidRPr="00000000">
        <w:rPr>
          <w:rFonts w:ascii="Calibri" w:cs="Calibri" w:eastAsia="Calibri" w:hAnsi="Calibri"/>
          <w:rtl w:val="0"/>
        </w:rPr>
        <w:t xml:space="preserve">, director general de Consultia Business Travel,</w:t>
      </w:r>
      <w:r w:rsidDel="00000000" w:rsidR="00000000" w:rsidRPr="00000000">
        <w:rPr>
          <w:rtl w:val="0"/>
        </w:rPr>
        <w:t xml:space="preserve"> </w:t>
      </w:r>
      <w:r w:rsidDel="00000000" w:rsidR="00000000" w:rsidRPr="00000000">
        <w:rPr>
          <w:rFonts w:ascii="Calibri" w:cs="Calibri" w:eastAsia="Calibri" w:hAnsi="Calibri"/>
          <w:i w:val="1"/>
          <w:rtl w:val="0"/>
        </w:rPr>
        <w:t xml:space="preserve">“es un orgullo que Froneri haya sido reconocida por su innovación en la gestión de viajes de negocios con </w:t>
      </w:r>
      <w:r w:rsidDel="00000000" w:rsidR="00000000" w:rsidRPr="00000000">
        <w:rPr>
          <w:rFonts w:ascii="Calibri" w:cs="Calibri" w:eastAsia="Calibri" w:hAnsi="Calibri"/>
          <w:b w:val="1"/>
          <w:i w:val="1"/>
          <w:rtl w:val="0"/>
        </w:rPr>
        <w:t xml:space="preserve">nuestra solución Destinux</w:t>
      </w:r>
      <w:r w:rsidDel="00000000" w:rsidR="00000000" w:rsidRPr="00000000">
        <w:rPr>
          <w:rFonts w:ascii="Calibri" w:cs="Calibri" w:eastAsia="Calibri" w:hAnsi="Calibri"/>
          <w:i w:val="1"/>
          <w:rtl w:val="0"/>
        </w:rPr>
        <w:t xml:space="preserve">. Es un premio que demuestra cómo la tecnología y el servicio altamente especializado pueden enriquecer un modelo de gestión más eficiente, transparente y humano. Este reconocimiento nos impulsa a seguir transformando el business travel con </w:t>
      </w:r>
      <w:r w:rsidDel="00000000" w:rsidR="00000000" w:rsidRPr="00000000">
        <w:rPr>
          <w:rFonts w:ascii="Calibri" w:cs="Calibri" w:eastAsia="Calibri" w:hAnsi="Calibri"/>
          <w:b w:val="1"/>
          <w:i w:val="1"/>
          <w:rtl w:val="0"/>
        </w:rPr>
        <w:t xml:space="preserve">soluciones innovadoras</w:t>
      </w:r>
      <w:r w:rsidDel="00000000" w:rsidR="00000000" w:rsidRPr="00000000">
        <w:rPr>
          <w:rFonts w:ascii="Calibri" w:cs="Calibri" w:eastAsia="Calibri" w:hAnsi="Calibri"/>
          <w:i w:val="1"/>
          <w:rtl w:val="0"/>
        </w:rPr>
        <w:t xml:space="preserve">”.</w:t>
      </w:r>
      <w:r w:rsidDel="00000000" w:rsidR="00000000" w:rsidRPr="00000000">
        <w:rPr>
          <w:rtl w:val="0"/>
        </w:rPr>
      </w:r>
    </w:p>
    <w:p w:rsidR="00000000" w:rsidDel="00000000" w:rsidP="00000000" w:rsidRDefault="00000000" w:rsidRPr="00000000" w14:paraId="0000000C">
      <w:pPr>
        <w:spacing w:after="240" w:before="240" w:lineRule="auto"/>
        <w:jc w:val="both"/>
        <w:rPr>
          <w:rFonts w:ascii="Calibri" w:cs="Calibri" w:eastAsia="Calibri" w:hAnsi="Calibri"/>
          <w:i w:val="1"/>
        </w:rPr>
      </w:pPr>
      <w:r w:rsidDel="00000000" w:rsidR="00000000" w:rsidRPr="00000000">
        <w:rPr>
          <w:rFonts w:ascii="Calibri" w:cs="Calibri" w:eastAsia="Calibri" w:hAnsi="Calibri"/>
          <w:rtl w:val="0"/>
        </w:rPr>
        <w:t xml:space="preserve">Por su parte, </w:t>
      </w:r>
      <w:r w:rsidDel="00000000" w:rsidR="00000000" w:rsidRPr="00000000">
        <w:rPr>
          <w:rFonts w:ascii="Calibri" w:cs="Calibri" w:eastAsia="Calibri" w:hAnsi="Calibri"/>
          <w:b w:val="1"/>
          <w:rtl w:val="0"/>
        </w:rPr>
        <w:t xml:space="preserve">Anabel Leal</w:t>
      </w:r>
      <w:r w:rsidDel="00000000" w:rsidR="00000000" w:rsidRPr="00000000">
        <w:rPr>
          <w:rFonts w:ascii="Calibri" w:cs="Calibri" w:eastAsia="Calibri" w:hAnsi="Calibri"/>
          <w:rtl w:val="0"/>
        </w:rPr>
        <w:t xml:space="preserve">, directora de Business Travel en Consultia Business Travel, destacó que </w:t>
      </w:r>
      <w:r w:rsidDel="00000000" w:rsidR="00000000" w:rsidRPr="00000000">
        <w:rPr>
          <w:rFonts w:ascii="Calibri" w:cs="Calibri" w:eastAsia="Calibri" w:hAnsi="Calibri"/>
          <w:i w:val="1"/>
          <w:rtl w:val="0"/>
        </w:rPr>
        <w:t xml:space="preserve">“este reconocimiento a Froneri demuestra </w:t>
      </w:r>
      <w:r w:rsidDel="00000000" w:rsidR="00000000" w:rsidRPr="00000000">
        <w:rPr>
          <w:rFonts w:ascii="Calibri" w:cs="Calibri" w:eastAsia="Calibri" w:hAnsi="Calibri"/>
          <w:b w:val="1"/>
          <w:i w:val="1"/>
          <w:rtl w:val="0"/>
        </w:rPr>
        <w:t xml:space="preserve">el impacto real que Destinux está teniendo en la evolución del business travel</w:t>
      </w:r>
      <w:r w:rsidDel="00000000" w:rsidR="00000000" w:rsidRPr="00000000">
        <w:rPr>
          <w:rFonts w:ascii="Calibri" w:cs="Calibri" w:eastAsia="Calibri" w:hAnsi="Calibri"/>
          <w:i w:val="1"/>
          <w:rtl w:val="0"/>
        </w:rPr>
        <w:t xml:space="preserve">. Acompañar a Froneri en este proceso ha sido un claro ejemplo de</w:t>
      </w:r>
      <w:r w:rsidDel="00000000" w:rsidR="00000000" w:rsidRPr="00000000">
        <w:rPr>
          <w:rFonts w:ascii="Calibri" w:cs="Calibri" w:eastAsia="Calibri" w:hAnsi="Calibri"/>
          <w:b w:val="1"/>
          <w:i w:val="1"/>
          <w:rtl w:val="0"/>
        </w:rPr>
        <w:t xml:space="preserve"> cómo la digitalización y la atención personalizada pueden transformar tanto la experiencia de viaje de los empleados como el control de la empresa</w:t>
      </w:r>
      <w:r w:rsidDel="00000000" w:rsidR="00000000" w:rsidRPr="00000000">
        <w:rPr>
          <w:rFonts w:ascii="Calibri" w:cs="Calibri" w:eastAsia="Calibri" w:hAnsi="Calibri"/>
          <w:i w:val="1"/>
          <w:rtl w:val="0"/>
        </w:rPr>
        <w:t xml:space="preserve">”.</w:t>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proyecto, que integra </w:t>
      </w:r>
      <w:r w:rsidDel="00000000" w:rsidR="00000000" w:rsidRPr="00000000">
        <w:rPr>
          <w:rFonts w:ascii="Calibri" w:cs="Calibri" w:eastAsia="Calibri" w:hAnsi="Calibri"/>
          <w:b w:val="1"/>
          <w:rtl w:val="0"/>
        </w:rPr>
        <w:t xml:space="preserve">Destinux</w:t>
      </w:r>
      <w:r w:rsidDel="00000000" w:rsidR="00000000" w:rsidRPr="00000000">
        <w:rPr>
          <w:rFonts w:ascii="Calibri" w:cs="Calibri" w:eastAsia="Calibri" w:hAnsi="Calibri"/>
          <w:rtl w:val="0"/>
        </w:rPr>
        <w:t xml:space="preserve"> directamente con el </w:t>
      </w:r>
      <w:r w:rsidDel="00000000" w:rsidR="00000000" w:rsidRPr="00000000">
        <w:rPr>
          <w:rFonts w:ascii="Calibri" w:cs="Calibri" w:eastAsia="Calibri" w:hAnsi="Calibri"/>
          <w:b w:val="1"/>
          <w:rtl w:val="0"/>
        </w:rPr>
        <w:t xml:space="preserve">ERP JD Edwards</w:t>
      </w:r>
      <w:r w:rsidDel="00000000" w:rsidR="00000000" w:rsidRPr="00000000">
        <w:rPr>
          <w:rFonts w:ascii="Calibri" w:cs="Calibri" w:eastAsia="Calibri" w:hAnsi="Calibri"/>
          <w:rtl w:val="0"/>
        </w:rPr>
        <w:t xml:space="preserve"> de Froneri, garantiza la trazabilidad contable y la seguridad de los datos. Además, Consultia complementa la plataforma con su servicio </w:t>
      </w:r>
      <w:r w:rsidDel="00000000" w:rsidR="00000000" w:rsidRPr="00000000">
        <w:rPr>
          <w:rFonts w:ascii="Calibri" w:cs="Calibri" w:eastAsia="Calibri" w:hAnsi="Calibri"/>
          <w:b w:val="1"/>
          <w:rtl w:val="0"/>
        </w:rPr>
        <w:t xml:space="preserve">Personal Travel Assistant</w:t>
      </w:r>
      <w:r w:rsidDel="00000000" w:rsidR="00000000" w:rsidRPr="00000000">
        <w:rPr>
          <w:rFonts w:ascii="Calibri" w:cs="Calibri" w:eastAsia="Calibri" w:hAnsi="Calibri"/>
          <w:rtl w:val="0"/>
        </w:rPr>
        <w:t xml:space="preserve">, que proporciona atención humana experta en cada desplazamiento, asegurando una experiencia de usuario ágil, integrada y segura.</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premio subraya la </w:t>
      </w:r>
      <w:r w:rsidDel="00000000" w:rsidR="00000000" w:rsidRPr="00000000">
        <w:rPr>
          <w:rFonts w:ascii="Calibri" w:cs="Calibri" w:eastAsia="Calibri" w:hAnsi="Calibri"/>
          <w:b w:val="1"/>
          <w:rtl w:val="0"/>
        </w:rPr>
        <w:t xml:space="preserve">capacidad de Consultia Business Travel para liderar la transformación digital del Business Travel</w:t>
      </w:r>
      <w:r w:rsidDel="00000000" w:rsidR="00000000" w:rsidRPr="00000000">
        <w:rPr>
          <w:rFonts w:ascii="Calibri" w:cs="Calibri" w:eastAsia="Calibri" w:hAnsi="Calibri"/>
          <w:rtl w:val="0"/>
        </w:rPr>
        <w:t xml:space="preserve"> con soluciones que combinan automatización, control y atención personalizada, reafirmando su papel como referente en innovación dentro del sector.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10">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Destinux es el primer SaaS del sector Business Travel en obtener la certificación ISO 27001, respaldando el compromiso con los más altos estándares de seguridad en la protección de datos personales.</w:t>
      </w:r>
    </w:p>
    <w:p w:rsidR="00000000" w:rsidDel="00000000" w:rsidP="00000000" w:rsidRDefault="00000000" w:rsidRPr="00000000" w14:paraId="00000011">
      <w:pPr>
        <w:spacing w:after="240" w:before="240" w:line="240" w:lineRule="auto"/>
        <w:jc w:val="both"/>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Consultia también gestiona las necesidades de reuniones, incentivos, congresos y eventos (MICE) que las corporaciones requieran.</w:t>
      </w:r>
      <w:r w:rsidDel="00000000" w:rsidR="00000000" w:rsidRPr="00000000">
        <w:rPr>
          <w:rtl w:val="0"/>
        </w:rPr>
      </w:r>
    </w:p>
    <w:p w:rsidR="00000000" w:rsidDel="00000000" w:rsidP="00000000" w:rsidRDefault="00000000" w:rsidRPr="00000000" w14:paraId="00000012">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CONTACTO </w:t>
      </w:r>
      <w:r w:rsidDel="00000000" w:rsidR="00000000" w:rsidRPr="00000000">
        <w:rPr>
          <w:rtl w:val="0"/>
        </w:rPr>
      </w:r>
    </w:p>
    <w:p w:rsidR="00000000" w:rsidDel="00000000" w:rsidP="00000000" w:rsidRDefault="00000000" w:rsidRPr="00000000" w14:paraId="00000013">
      <w:pPr>
        <w:spacing w:after="20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Consultia Business Travel</w:t>
      </w:r>
    </w:p>
    <w:p w:rsidR="00000000" w:rsidDel="00000000" w:rsidP="00000000" w:rsidRDefault="00000000" w:rsidRPr="00000000" w14:paraId="00000014">
      <w:pPr>
        <w:spacing w:after="20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Carlota Ramos</w:t>
      </w:r>
    </w:p>
    <w:p w:rsidR="00000000" w:rsidDel="00000000" w:rsidP="00000000" w:rsidRDefault="00000000" w:rsidRPr="00000000" w14:paraId="00000015">
      <w:pPr>
        <w:spacing w:after="200" w:lineRule="auto"/>
        <w:jc w:val="both"/>
        <w:rPr>
          <w:rFonts w:ascii="Calibri" w:cs="Calibri" w:eastAsia="Calibri" w:hAnsi="Calibri"/>
          <w:sz w:val="18"/>
          <w:szCs w:val="18"/>
        </w:rPr>
      </w:pPr>
      <w:hyperlink r:id="rId12">
        <w:r w:rsidDel="00000000" w:rsidR="00000000" w:rsidRPr="00000000">
          <w:rPr>
            <w:rFonts w:ascii="Calibri" w:cs="Calibri" w:eastAsia="Calibri" w:hAnsi="Calibri"/>
            <w:color w:val="1155cc"/>
            <w:sz w:val="18"/>
            <w:szCs w:val="18"/>
            <w:u w:val="single"/>
            <w:rtl w:val="0"/>
          </w:rPr>
          <w:t xml:space="preserve">carlota.ramos@actitud.es</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6">
      <w:pPr>
        <w:spacing w:after="200" w:lineRule="auto"/>
        <w:jc w:val="both"/>
        <w:rPr/>
      </w:pPr>
      <w:r w:rsidDel="00000000" w:rsidR="00000000" w:rsidRPr="00000000">
        <w:rPr>
          <w:rFonts w:ascii="Calibri" w:cs="Calibri" w:eastAsia="Calibri" w:hAnsi="Calibri"/>
          <w:sz w:val="18"/>
          <w:szCs w:val="18"/>
          <w:rtl w:val="0"/>
        </w:rPr>
        <w:t xml:space="preserve">913022860</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4333875</wp:posOffset>
          </wp:positionH>
          <wp:positionV relativeFrom="paragraph">
            <wp:posOffset>-95232</wp:posOffset>
          </wp:positionV>
          <wp:extent cx="1851271" cy="522562"/>
          <wp:effectExtent b="0" l="0" r="0" t="0"/>
          <wp:wrapNone/>
          <wp:docPr id="3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51271" cy="52256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-504819</wp:posOffset>
          </wp:positionH>
          <wp:positionV relativeFrom="paragraph">
            <wp:posOffset>-171444</wp:posOffset>
          </wp:positionV>
          <wp:extent cx="1984235" cy="676275"/>
          <wp:effectExtent b="0" l="0" r="0" t="0"/>
          <wp:wrapNone/>
          <wp:docPr id="3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84235" cy="67627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771B28"/>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71B28"/>
  </w:style>
  <w:style w:type="paragraph" w:styleId="Piedepgina">
    <w:name w:val="footer"/>
    <w:basedOn w:val="Normal"/>
    <w:link w:val="PiedepginaCar"/>
    <w:uiPriority w:val="99"/>
    <w:unhideWhenUsed w:val="1"/>
    <w:rsid w:val="00771B2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71B28"/>
  </w:style>
  <w:style w:type="character" w:styleId="Refdecomentario">
    <w:name w:val="annotation reference"/>
    <w:basedOn w:val="Fuentedeprrafopredeter"/>
    <w:uiPriority w:val="99"/>
    <w:semiHidden w:val="1"/>
    <w:unhideWhenUsed w:val="1"/>
    <w:rsid w:val="00A47F66"/>
    <w:rPr>
      <w:sz w:val="16"/>
      <w:szCs w:val="16"/>
    </w:rPr>
  </w:style>
  <w:style w:type="paragraph" w:styleId="Textocomentario">
    <w:name w:val="annotation text"/>
    <w:basedOn w:val="Normal"/>
    <w:link w:val="TextocomentarioCar"/>
    <w:uiPriority w:val="99"/>
    <w:unhideWhenUsed w:val="1"/>
    <w:rsid w:val="00A47F66"/>
    <w:pPr>
      <w:spacing w:line="240" w:lineRule="auto"/>
    </w:pPr>
    <w:rPr>
      <w:sz w:val="20"/>
      <w:szCs w:val="20"/>
    </w:rPr>
  </w:style>
  <w:style w:type="character" w:styleId="TextocomentarioCar" w:customStyle="1">
    <w:name w:val="Texto comentario Car"/>
    <w:basedOn w:val="Fuentedeprrafopredeter"/>
    <w:link w:val="Textocomentario"/>
    <w:uiPriority w:val="99"/>
    <w:rsid w:val="00A47F6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A47F66"/>
    <w:rPr>
      <w:b w:val="1"/>
      <w:bCs w:val="1"/>
    </w:rPr>
  </w:style>
  <w:style w:type="character" w:styleId="AsuntodelcomentarioCar" w:customStyle="1">
    <w:name w:val="Asunto del comentario Car"/>
    <w:basedOn w:val="TextocomentarioCar"/>
    <w:link w:val="Asuntodelcomentario"/>
    <w:uiPriority w:val="99"/>
    <w:semiHidden w:val="1"/>
    <w:rsid w:val="00A47F66"/>
    <w:rPr>
      <w:b w:val="1"/>
      <w:bCs w:val="1"/>
      <w:sz w:val="20"/>
      <w:szCs w:val="20"/>
    </w:rPr>
  </w:style>
  <w:style w:type="character" w:styleId="Hipervnculo">
    <w:name w:val="Hyperlink"/>
    <w:basedOn w:val="Fuentedeprrafopredeter"/>
    <w:uiPriority w:val="99"/>
    <w:unhideWhenUsed w:val="1"/>
    <w:rsid w:val="00A47F66"/>
    <w:rPr>
      <w:color w:val="0000ff" w:themeColor="hyperlink"/>
      <w:u w:val="single"/>
    </w:rPr>
  </w:style>
  <w:style w:type="character" w:styleId="Mencinsinresolver">
    <w:name w:val="Unresolved Mention"/>
    <w:basedOn w:val="Fuentedeprrafopredeter"/>
    <w:uiPriority w:val="99"/>
    <w:semiHidden w:val="1"/>
    <w:unhideWhenUsed w:val="1"/>
    <w:rsid w:val="00A47F66"/>
    <w:rPr>
      <w:color w:val="605e5c"/>
      <w:shd w:color="auto" w:fill="e1dfdd" w:val="clear"/>
    </w:rPr>
  </w:style>
  <w:style w:type="paragraph" w:styleId="NormalWeb">
    <w:name w:val="Normal (Web)"/>
    <w:basedOn w:val="Normal"/>
    <w:uiPriority w:val="99"/>
    <w:semiHidden w:val="1"/>
    <w:unhideWhenUsed w:val="1"/>
    <w:rsid w:val="00A47F66"/>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Hipervnculovisitado">
    <w:name w:val="FollowedHyperlink"/>
    <w:basedOn w:val="Fuentedeprrafopredeter"/>
    <w:uiPriority w:val="99"/>
    <w:semiHidden w:val="1"/>
    <w:unhideWhenUsed w:val="1"/>
    <w:rsid w:val="00510E76"/>
    <w:rPr>
      <w:color w:val="800080" w:themeColor="followedHyperlink"/>
      <w:u w:val="single"/>
    </w:rPr>
  </w:style>
  <w:style w:type="paragraph" w:styleId="Revisin">
    <w:name w:val="Revision"/>
    <w:hidden w:val="1"/>
    <w:uiPriority w:val="99"/>
    <w:semiHidden w:val="1"/>
    <w:rsid w:val="001E19A0"/>
    <w:pPr>
      <w:spacing w:line="240" w:lineRule="auto"/>
    </w:pPr>
  </w:style>
  <w:style w:type="character" w:styleId="Textoennegrita">
    <w:name w:val="Strong"/>
    <w:basedOn w:val="Fuentedeprrafopredeter"/>
    <w:uiPriority w:val="22"/>
    <w:qFormat w:val="1"/>
    <w:rsid w:val="00BE71FE"/>
    <w:rPr>
      <w:b w:val="1"/>
      <w:bCs w:val="1"/>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nsultiatravel.es/" TargetMode="External"/><Relationship Id="rId10" Type="http://schemas.openxmlformats.org/officeDocument/2006/relationships/hyperlink" Target="https://www.consultiatravel.es/gestion-de-viajes-de-empresa/" TargetMode="External"/><Relationship Id="rId13" Type="http://schemas.openxmlformats.org/officeDocument/2006/relationships/header" Target="header2.xml"/><Relationship Id="rId12" Type="http://schemas.openxmlformats.org/officeDocument/2006/relationships/hyperlink" Target="mailto:carlota.ramo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bta.es/"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3.jpg"/><Relationship Id="rId8" Type="http://schemas.openxmlformats.org/officeDocument/2006/relationships/hyperlink" Target="https://www.froneri.com/es/histor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7jDwrL3VQVKIkVLPhIP7NU08Eg==">CgMxLjAyDmguZHY1NmgwYWl1cnZ6Mg5oLndyOXNtOG94bW5wYzgAciExSlpGWFNJMEFQZFlTVUM1TWpxWTB3eXJxeDhaUmJLNEE=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2025-10-24T08:47:00Z</dcterms:created>
  <dc:creator>Elena Rodrigo</dc:creator>
</cp:coreProperties>
</file>