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La comercializadora iguala tarifa a toda su cartera de precio fijo, una apuesta poco habitual en el sector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b w:val="1"/>
          <w:sz w:val="56"/>
          <w:szCs w:val="56"/>
          <w:rtl w:val="0"/>
        </w:rPr>
        <w:t xml:space="preserve">Gana Energía destina 23 M€ a mejorar las facturas de luz de sus clientes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La compañía mejora tarifas a 140.000 clientes en pleno escenario de bajada de precios de la energía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760575</wp:posOffset>
            </wp:positionH>
            <wp:positionV relativeFrom="paragraph">
              <wp:posOffset>563314</wp:posOffset>
            </wp:positionV>
            <wp:extent cx="3900488" cy="2603267"/>
            <wp:effectExtent b="0" l="0" r="0" t="0"/>
            <wp:wrapTopAndBottom distB="114300" distT="11430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0488" cy="26032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line="240" w:lineRule="auto"/>
        <w:ind w:right="-29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291"/>
        <w:jc w:val="both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Madrid, 22 de marzo de 2024.-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Gana Energía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la compañía comercializadora de electricidad y gas natural, continúa su apuesta por reducir las facturas de luz y gas de sus clientes. </w:t>
      </w:r>
    </w:p>
    <w:p w:rsidR="00000000" w:rsidDel="00000000" w:rsidP="00000000" w:rsidRDefault="00000000" w:rsidRPr="00000000" w14:paraId="00000007">
      <w:pPr>
        <w:spacing w:line="240" w:lineRule="auto"/>
        <w:ind w:right="-291"/>
        <w:jc w:val="both"/>
        <w:rPr>
          <w:rFonts w:ascii="Calibri" w:cs="Calibri" w:eastAsia="Calibri" w:hAnsi="Calibri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-291"/>
        <w:jc w:val="both"/>
        <w:rPr>
          <w:rFonts w:ascii="Calibri" w:cs="Calibri" w:eastAsia="Calibri" w:hAnsi="Calibri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Para ello, a partir del 1 de abril de 2024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unificará tarifas de todos sus clientes de precio fijo renunciando así a facturar 23 millones de euros.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Esta cantidad se traducirá en un ahorro medio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164€ al año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 las facturas de luz de los más de 140.000 clientes incluidos en esta mejora tarifaria. </w:t>
      </w:r>
    </w:p>
    <w:p w:rsidR="00000000" w:rsidDel="00000000" w:rsidP="00000000" w:rsidRDefault="00000000" w:rsidRPr="00000000" w14:paraId="00000009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-29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prioridad: el ahorro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-291"/>
        <w:jc w:val="both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 esta bajada de precios, Gana Energía da una buena noticia a sus clientes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quienes traslada la realidad de un mercado de precios de la energía a la baja en ahorro real en las facturas de luz.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-29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-291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“Para Gana Energía, esta medida es una importante decisión estratégica y una clara declaración de intenciones dentro del sector. Nadie nos ha pedido este cambio, ni ha sido por obligación. Entre obtener más beneficio y aumentar el ahorro del usuario final, nos decidimos a bajar los precios”,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afirma Antonio Picazo, cofundador y CEO de Gana Energía.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-291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-29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40" w:lineRule="auto"/>
        <w:ind w:right="-29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-291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un escenario en el que los precios de la energía van a la baja, la comercializadora es fiel a sus principios de ajustar sus márgenes.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Además, supone también una equiparación de tarifas de todos sus clientes que pasan a tener el mismo independientemente de su antigüedad.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-29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-29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Una decisión revolucionaria en el sector de la energía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-29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-29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tipo de decisiones son algo poco habitual dentro del sector de la energía, donde es común que dentro de una misma compañía cada cliente tenga un precio diferente.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 esta decisión, Gana Energía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cumple su compromiso de ajustar precios aunque le suponga una renuncia a una mayor facturación.</w:t>
      </w:r>
    </w:p>
    <w:p w:rsidR="00000000" w:rsidDel="00000000" w:rsidP="00000000" w:rsidRDefault="00000000" w:rsidRPr="00000000" w14:paraId="00000016">
      <w:pPr>
        <w:spacing w:line="240" w:lineRule="auto"/>
        <w:ind w:right="-29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-29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“Para nosotros, es importante tratar por igual a todos nuestros clientes. Del primero al último. Tanto si acaban de llegar como si llevan 5 años. Creemos que lo justo es que todos los clientes tengan el mismo precio”,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añade Picazo. </w:t>
      </w:r>
    </w:p>
    <w:p w:rsidR="00000000" w:rsidDel="00000000" w:rsidP="00000000" w:rsidRDefault="00000000" w:rsidRPr="00000000" w14:paraId="00000018">
      <w:pPr>
        <w:spacing w:line="240" w:lineRule="auto"/>
        <w:ind w:right="-29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-29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esta decisión, Gana Energía consolida su apuesta por plantear una alternativa en el sector energético y añade un escalón más en su objetivo de alcanzar el millón de clientes.</w:t>
      </w:r>
    </w:p>
    <w:p w:rsidR="00000000" w:rsidDel="00000000" w:rsidP="00000000" w:rsidRDefault="00000000" w:rsidRPr="00000000" w14:paraId="0000001A">
      <w:pPr>
        <w:spacing w:line="240" w:lineRule="auto"/>
        <w:ind w:right="-29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-291"/>
        <w:jc w:val="both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right="-291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Sobre Gana Energía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right="-291"/>
        <w:rPr>
          <w:rFonts w:ascii="Calibri" w:cs="Calibri" w:eastAsia="Calibri" w:hAnsi="Calibri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right="-291"/>
        <w:jc w:val="both"/>
        <w:rPr>
          <w:rFonts w:ascii="Calibri" w:cs="Calibri" w:eastAsia="Calibri" w:hAnsi="Calibri"/>
          <w:sz w:val="18"/>
          <w:szCs w:val="18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Gana Energía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 una comercializadora de luz y gas natural que opera en España peninsular y Baleares. Fue fundada en 2015 con el objetivo de presentar una alternativa en el sector energético, ofreciendo luz y gas a precios ajustados y poniendo el foco en el ahorro y la tranquilidad del cliente. </w:t>
      </w:r>
    </w:p>
    <w:p w:rsidR="00000000" w:rsidDel="00000000" w:rsidP="00000000" w:rsidRDefault="00000000" w:rsidRPr="00000000" w14:paraId="0000001F">
      <w:pPr>
        <w:spacing w:line="240" w:lineRule="auto"/>
        <w:ind w:right="-291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-29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Su apuesta por “el ahorro sin líos” se materializa a través de una oferta de tarifas de luz y gas simplificadas que eliminan costes extra de las facturas y renovaciones de precio. Una sencillez que se traslada también en sus gestiones y servicio de Atención al Cliente: desde su app o a través del teléfono, donde el cliente siempre encuentra un asesor energético dispuesto a ayudarle.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-29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u w:val="single"/>
          <w:rtl w:val="0"/>
        </w:rPr>
        <w:t xml:space="preserve">Para más información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Actitud de Comunicación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Irati Miguel: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irati.miguel@actitud.es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b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913 02 28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spacing w:line="240" w:lineRule="auto"/>
      <w:ind w:right="-291"/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3588075</wp:posOffset>
          </wp:positionH>
          <wp:positionV relativeFrom="paragraph">
            <wp:posOffset>19052</wp:posOffset>
          </wp:positionV>
          <wp:extent cx="2127928" cy="614363"/>
          <wp:effectExtent b="0" l="0" r="0" t="0"/>
          <wp:wrapTopAndBottom distB="114300" distT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4569" l="18654" r="18045" t="12582"/>
                  <a:stretch>
                    <a:fillRect/>
                  </a:stretch>
                </pic:blipFill>
                <pic:spPr>
                  <a:xfrm>
                    <a:off x="0" y="0"/>
                    <a:ext cx="2127928" cy="6143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irati.miguel@actitud.es" TargetMode="External"/><Relationship Id="rId9" Type="http://schemas.openxmlformats.org/officeDocument/2006/relationships/hyperlink" Target="http://www.ganaenergia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://www.ganaenergia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eJ2MBOLTXtQkCBYOpWmPYe2Oyg==">CgMxLjAyCGguZ2pkZ3hzMgloLjMwajB6bGwyCWguMWZvYjl0ZTgAciExSFBnVEJMcXRDb0owakpOTy0tYklzVHBQQjhXaF9PMzU=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