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2BA" w:rsidRDefault="00F80142">
      <w:pPr>
        <w:spacing w:after="200" w:line="240" w:lineRule="auto"/>
        <w:rPr>
          <w:b/>
          <w:i/>
          <w:color w:val="000000"/>
          <w:sz w:val="24"/>
          <w:szCs w:val="24"/>
        </w:rPr>
      </w:pPr>
      <w:r>
        <w:rPr>
          <w:b/>
          <w:i/>
          <w:color w:val="000000"/>
          <w:sz w:val="24"/>
          <w:szCs w:val="24"/>
        </w:rPr>
        <w:t>Con el objetivo de conseguir tarifas de luz más ventajosas</w:t>
      </w:r>
    </w:p>
    <w:p w:rsidR="003A22BA" w:rsidRDefault="00F80142">
      <w:pPr>
        <w:spacing w:before="280" w:after="200" w:line="240" w:lineRule="auto"/>
        <w:jc w:val="center"/>
        <w:rPr>
          <w:b/>
          <w:color w:val="000000"/>
          <w:sz w:val="40"/>
          <w:szCs w:val="40"/>
        </w:rPr>
      </w:pPr>
      <w:r>
        <w:rPr>
          <w:b/>
          <w:color w:val="000000"/>
          <w:sz w:val="40"/>
          <w:szCs w:val="40"/>
        </w:rPr>
        <w:t>Gana Energía renueva su colaboración con COPLAND</w:t>
      </w:r>
    </w:p>
    <w:p w:rsidR="003A22BA" w:rsidRDefault="003A22BA">
      <w:pPr>
        <w:spacing w:after="0" w:line="240" w:lineRule="auto"/>
      </w:pPr>
    </w:p>
    <w:p w:rsidR="003A22BA" w:rsidRDefault="00F80142">
      <w:pPr>
        <w:numPr>
          <w:ilvl w:val="0"/>
          <w:numId w:val="1"/>
        </w:numPr>
        <w:spacing w:before="280" w:after="200" w:line="240" w:lineRule="auto"/>
        <w:rPr>
          <w:b/>
          <w:color w:val="000000"/>
        </w:rPr>
      </w:pPr>
      <w:r>
        <w:rPr>
          <w:b/>
          <w:color w:val="000000"/>
        </w:rPr>
        <w:t>Ambas entidades llevan colaborando más de tres años, período en el que se han dado de alta más de 300 suministros</w:t>
      </w:r>
    </w:p>
    <w:p w:rsidR="003A22BA" w:rsidRDefault="00F80142">
      <w:pPr>
        <w:numPr>
          <w:ilvl w:val="0"/>
          <w:numId w:val="1"/>
        </w:numPr>
        <w:spacing w:after="200" w:line="240" w:lineRule="auto"/>
        <w:rPr>
          <w:b/>
          <w:color w:val="000000"/>
        </w:rPr>
      </w:pPr>
      <w:r>
        <w:rPr>
          <w:b/>
          <w:color w:val="000000"/>
        </w:rPr>
        <w:t>En este nuevo acuerdo se han negociado</w:t>
      </w:r>
      <w:r>
        <w:rPr>
          <w:b/>
        </w:rPr>
        <w:t xml:space="preserve"> 500 nuevos</w:t>
      </w:r>
      <w:r>
        <w:rPr>
          <w:b/>
          <w:color w:val="000000"/>
        </w:rPr>
        <w:t xml:space="preserve"> contratos aproximadamente</w:t>
      </w:r>
    </w:p>
    <w:p w:rsidR="003A22BA" w:rsidRDefault="00F80142">
      <w:pPr>
        <w:numPr>
          <w:ilvl w:val="0"/>
          <w:numId w:val="1"/>
        </w:numPr>
        <w:spacing w:after="200" w:line="240" w:lineRule="auto"/>
        <w:rPr>
          <w:b/>
          <w:color w:val="000000"/>
        </w:rPr>
      </w:pPr>
      <w:r>
        <w:rPr>
          <w:b/>
        </w:rPr>
        <w:t>El acuerdo de colaboración se prolongará por un año</w:t>
      </w:r>
    </w:p>
    <w:p w:rsidR="003A22BA" w:rsidRDefault="003A22BA">
      <w:pPr>
        <w:spacing w:after="0" w:line="240" w:lineRule="auto"/>
      </w:pPr>
      <w:bookmarkStart w:id="0" w:name="_heading=h.gjdgxs" w:colFirst="0" w:colLast="0"/>
      <w:bookmarkEnd w:id="0"/>
    </w:p>
    <w:p w:rsidR="003A22BA" w:rsidRDefault="00F80142">
      <w:pPr>
        <w:spacing w:before="280" w:after="280" w:line="240" w:lineRule="auto"/>
        <w:jc w:val="both"/>
        <w:rPr>
          <w:color w:val="000000"/>
        </w:rPr>
      </w:pPr>
      <w:r>
        <w:rPr>
          <w:b/>
          <w:color w:val="000000"/>
        </w:rPr>
        <w:t>Valencia, 26 de agosto</w:t>
      </w:r>
      <w:bookmarkStart w:id="1" w:name="_GoBack"/>
      <w:bookmarkEnd w:id="1"/>
      <w:r>
        <w:rPr>
          <w:b/>
          <w:color w:val="000000"/>
        </w:rPr>
        <w:t xml:space="preserve"> de 2021.- </w:t>
      </w:r>
      <w:hyperlink r:id="rId8">
        <w:r>
          <w:rPr>
            <w:b/>
            <w:color w:val="0000FF"/>
            <w:u w:val="single"/>
          </w:rPr>
          <w:t>Gana Energía</w:t>
        </w:r>
      </w:hyperlink>
      <w:r>
        <w:rPr>
          <w:color w:val="000000"/>
        </w:rPr>
        <w:t>, empresa comercializadora independiente</w:t>
      </w:r>
      <w:r>
        <w:rPr>
          <w:color w:val="000000"/>
        </w:rPr>
        <w:t xml:space="preserve"> de electricidad que ofrece energía 100% </w:t>
      </w:r>
      <w:r>
        <w:t>verde</w:t>
      </w:r>
      <w:r>
        <w:rPr>
          <w:color w:val="000000"/>
        </w:rPr>
        <w:t>, ha renovado por</w:t>
      </w:r>
      <w:r>
        <w:t xml:space="preserve"> un año</w:t>
      </w:r>
      <w:r>
        <w:rPr>
          <w:color w:val="000000"/>
        </w:rPr>
        <w:t xml:space="preserve"> más su colaboración con COPLAND. Esta asociación, creada en 2016, está formada por agentes de diferentes cuerpos policiales con el fin de crear una gran comunidad que se centra en busca</w:t>
      </w:r>
      <w:r>
        <w:rPr>
          <w:color w:val="000000"/>
        </w:rPr>
        <w:t xml:space="preserve">r beneficios para </w:t>
      </w:r>
      <w:r>
        <w:t>los miembros</w:t>
      </w:r>
      <w:r>
        <w:rPr>
          <w:color w:val="000000"/>
        </w:rPr>
        <w:t xml:space="preserve"> del cuerpo de policía y su familia.</w:t>
      </w:r>
    </w:p>
    <w:p w:rsidR="003A22BA" w:rsidRDefault="00F80142">
      <w:pPr>
        <w:spacing w:before="280" w:after="280" w:line="240" w:lineRule="auto"/>
        <w:jc w:val="both"/>
        <w:rPr>
          <w:color w:val="000000"/>
        </w:rPr>
      </w:pPr>
      <w:r>
        <w:rPr>
          <w:color w:val="000000"/>
        </w:rPr>
        <w:t xml:space="preserve">El acuerdo entre la compañía y la asociación permite que sus socios puedan conseguir tarifas de luz </w:t>
      </w:r>
      <w:r>
        <w:t>co</w:t>
      </w:r>
      <w:r>
        <w:rPr>
          <w:color w:val="000000"/>
        </w:rPr>
        <w:t xml:space="preserve">n condiciones muy ventajosas para ellos. </w:t>
      </w:r>
    </w:p>
    <w:p w:rsidR="003A22BA" w:rsidRDefault="00F80142">
      <w:pPr>
        <w:spacing w:before="280" w:after="280" w:line="240" w:lineRule="auto"/>
        <w:jc w:val="both"/>
        <w:rPr>
          <w:b/>
          <w:color w:val="000000"/>
        </w:rPr>
      </w:pPr>
      <w:r>
        <w:rPr>
          <w:b/>
          <w:color w:val="000000"/>
        </w:rPr>
        <w:t>La mejor oferta de electricidad</w:t>
      </w:r>
    </w:p>
    <w:p w:rsidR="003A22BA" w:rsidRDefault="00F80142">
      <w:pPr>
        <w:spacing w:before="280" w:after="280" w:line="240" w:lineRule="auto"/>
        <w:jc w:val="both"/>
        <w:rPr>
          <w:color w:val="000000"/>
        </w:rPr>
      </w:pPr>
      <w:r>
        <w:rPr>
          <w:color w:val="000000"/>
        </w:rPr>
        <w:t xml:space="preserve">Gana Energía </w:t>
      </w:r>
      <w:r>
        <w:rPr>
          <w:color w:val="000000"/>
        </w:rPr>
        <w:t>se caracteriza, entre otros, por ofrecer las mejores tarifas de luz y gas y diferentes ventajas para el ahorro en el hogar.</w:t>
      </w:r>
    </w:p>
    <w:p w:rsidR="003A22BA" w:rsidRDefault="00F80142">
      <w:pPr>
        <w:spacing w:before="280" w:after="280" w:line="240" w:lineRule="auto"/>
        <w:jc w:val="both"/>
        <w:rPr>
          <w:color w:val="000000"/>
        </w:rPr>
      </w:pPr>
      <w:r>
        <w:rPr>
          <w:color w:val="000000"/>
        </w:rPr>
        <w:t xml:space="preserve">COPLAND está volcado en los concursos de suministros eléctricos para sus miembros. Junto con </w:t>
      </w:r>
      <w:proofErr w:type="spellStart"/>
      <w:r>
        <w:rPr>
          <w:color w:val="000000"/>
        </w:rPr>
        <w:t>Energestic</w:t>
      </w:r>
      <w:proofErr w:type="spellEnd"/>
      <w:r>
        <w:rPr>
          <w:color w:val="000000"/>
        </w:rPr>
        <w:t xml:space="preserve">, publicó un concurso de luz </w:t>
      </w:r>
      <w:r>
        <w:rPr>
          <w:color w:val="000000"/>
        </w:rPr>
        <w:t>y gas para asegurar las condiciones más competitivas para todos sus miembros y evitar que tengan que buscar las ofertas de forma individual en diferentes comercializadoras.</w:t>
      </w:r>
    </w:p>
    <w:p w:rsidR="003A22BA" w:rsidRDefault="00F80142">
      <w:pPr>
        <w:spacing w:before="280" w:after="280" w:line="240" w:lineRule="auto"/>
        <w:jc w:val="both"/>
        <w:rPr>
          <w:color w:val="000000"/>
        </w:rPr>
      </w:pPr>
      <w:r>
        <w:rPr>
          <w:color w:val="000000"/>
        </w:rPr>
        <w:t xml:space="preserve">En esta ocasión, y en línea con el proceso de digitalización de </w:t>
      </w:r>
      <w:proofErr w:type="spellStart"/>
      <w:r>
        <w:rPr>
          <w:color w:val="000000"/>
        </w:rPr>
        <w:t>Energestic</w:t>
      </w:r>
      <w:proofErr w:type="spellEnd"/>
      <w:r>
        <w:rPr>
          <w:color w:val="000000"/>
        </w:rPr>
        <w:t>, el conc</w:t>
      </w:r>
      <w:r>
        <w:rPr>
          <w:color w:val="000000"/>
        </w:rPr>
        <w:t>urso se ha lanzado a través de la aplicación SPOCK, plataforma que pone en marcha concursos en los que las comercializadoras pueden presentar sus mejores ofertas. Esta aplicación reúne comunidades de consumidores que finalmente podrán acceder a la oferta g</w:t>
      </w:r>
      <w:r>
        <w:rPr>
          <w:color w:val="000000"/>
        </w:rPr>
        <w:t xml:space="preserve">anadora de forma sencilla y transparente contando siempre con la supervisión de un notario que </w:t>
      </w:r>
      <w:r>
        <w:t>dé fe</w:t>
      </w:r>
      <w:r>
        <w:rPr>
          <w:color w:val="000000"/>
        </w:rPr>
        <w:t xml:space="preserve"> de la </w:t>
      </w:r>
      <w:r>
        <w:t>transparencia</w:t>
      </w:r>
      <w:r>
        <w:rPr>
          <w:color w:val="000000"/>
        </w:rPr>
        <w:t xml:space="preserve"> del proceso.</w:t>
      </w:r>
    </w:p>
    <w:p w:rsidR="003A22BA" w:rsidRDefault="00F80142">
      <w:pPr>
        <w:spacing w:before="280" w:after="280" w:line="240" w:lineRule="auto"/>
        <w:jc w:val="both"/>
        <w:rPr>
          <w:color w:val="000000"/>
        </w:rPr>
      </w:pPr>
      <w:r>
        <w:rPr>
          <w:color w:val="000000"/>
        </w:rPr>
        <w:t xml:space="preserve">Por segunda vez consecutiva, Gana Energía ha resultado la ganadora de la edición al presentar la mejor oferta entre más de 10 </w:t>
      </w:r>
      <w:r>
        <w:t>presentada</w:t>
      </w:r>
      <w:r>
        <w:rPr>
          <w:color w:val="000000"/>
        </w:rPr>
        <w:t xml:space="preserve">s y consiguiendo así la adjudicación de los suministros de los consumidores participantes en el concurso. Este logro ha </w:t>
      </w:r>
      <w:r>
        <w:rPr>
          <w:color w:val="000000"/>
        </w:rPr>
        <w:t xml:space="preserve">permitido que la empresa consiga negociar cerca de </w:t>
      </w:r>
      <w:r>
        <w:t>500</w:t>
      </w:r>
      <w:r>
        <w:rPr>
          <w:color w:val="000000"/>
        </w:rPr>
        <w:t xml:space="preserve"> nuevos contratos </w:t>
      </w:r>
      <w:r>
        <w:t>de suministro eléctrico.</w:t>
      </w:r>
    </w:p>
    <w:p w:rsidR="003A22BA" w:rsidRDefault="003A22BA">
      <w:pPr>
        <w:spacing w:before="280" w:after="280" w:line="240" w:lineRule="auto"/>
        <w:jc w:val="both"/>
      </w:pPr>
    </w:p>
    <w:p w:rsidR="003A22BA" w:rsidRDefault="00F80142">
      <w:pPr>
        <w:spacing w:before="280" w:after="280" w:line="240" w:lineRule="auto"/>
        <w:jc w:val="both"/>
        <w:rPr>
          <w:color w:val="000000"/>
        </w:rPr>
      </w:pPr>
      <w:r>
        <w:rPr>
          <w:color w:val="000000"/>
        </w:rPr>
        <w:t>.</w:t>
      </w:r>
    </w:p>
    <w:p w:rsidR="003A22BA" w:rsidRDefault="003A22BA">
      <w:pPr>
        <w:spacing w:before="60" w:after="60" w:line="240" w:lineRule="auto"/>
        <w:rPr>
          <w:b/>
          <w:sz w:val="18"/>
          <w:szCs w:val="18"/>
          <w:u w:val="single"/>
        </w:rPr>
      </w:pPr>
    </w:p>
    <w:p w:rsidR="003A22BA" w:rsidRDefault="00F80142">
      <w:pPr>
        <w:spacing w:before="60" w:after="60" w:line="240" w:lineRule="auto"/>
        <w:rPr>
          <w:b/>
          <w:sz w:val="18"/>
          <w:szCs w:val="18"/>
          <w:u w:val="single"/>
        </w:rPr>
      </w:pPr>
      <w:r>
        <w:rPr>
          <w:b/>
          <w:sz w:val="18"/>
          <w:szCs w:val="18"/>
          <w:u w:val="single"/>
        </w:rPr>
        <w:lastRenderedPageBreak/>
        <w:t>Sobre Gana Energía</w:t>
      </w:r>
    </w:p>
    <w:p w:rsidR="003A22BA" w:rsidRDefault="003A22BA">
      <w:pPr>
        <w:spacing w:before="60" w:after="60" w:line="240" w:lineRule="auto"/>
        <w:rPr>
          <w:b/>
          <w:sz w:val="18"/>
          <w:szCs w:val="18"/>
          <w:u w:val="single"/>
        </w:rPr>
      </w:pPr>
    </w:p>
    <w:p w:rsidR="003A22BA" w:rsidRDefault="00F80142">
      <w:pPr>
        <w:spacing w:before="60" w:after="60" w:line="240" w:lineRule="auto"/>
        <w:jc w:val="both"/>
        <w:rPr>
          <w:color w:val="000000"/>
          <w:sz w:val="18"/>
          <w:szCs w:val="18"/>
        </w:rPr>
      </w:pPr>
      <w:hyperlink r:id="rId9">
        <w:r>
          <w:rPr>
            <w:color w:val="0000FF"/>
            <w:sz w:val="18"/>
            <w:szCs w:val="18"/>
            <w:u w:val="single"/>
          </w:rPr>
          <w:t>Gana Energía</w:t>
        </w:r>
      </w:hyperlink>
      <w:r>
        <w:rPr>
          <w:color w:val="000000"/>
          <w:sz w:val="18"/>
          <w:szCs w:val="18"/>
        </w:rPr>
        <w:t xml:space="preserve"> es una empresa comercializadora independiente que ofrece energía 100% renova</w:t>
      </w:r>
      <w:r>
        <w:rPr>
          <w:color w:val="000000"/>
          <w:sz w:val="18"/>
          <w:szCs w:val="18"/>
        </w:rPr>
        <w:t>ble. Fue fundada en 2015 con el objetivo de ofrecer los precios más competitivos del mercado y un servicio transparente, poniendo el foco en la satisfacción y tranquilidad del cliente. Actualmente opera en España peninsular y Baleares.</w:t>
      </w:r>
    </w:p>
    <w:p w:rsidR="003A22BA" w:rsidRDefault="003A22BA">
      <w:pPr>
        <w:spacing w:before="60" w:after="60" w:line="240" w:lineRule="auto"/>
        <w:jc w:val="both"/>
        <w:rPr>
          <w:color w:val="000000"/>
          <w:sz w:val="18"/>
          <w:szCs w:val="18"/>
        </w:rPr>
      </w:pPr>
    </w:p>
    <w:p w:rsidR="003A22BA" w:rsidRDefault="00F80142">
      <w:pPr>
        <w:spacing w:before="60" w:after="60" w:line="240" w:lineRule="auto"/>
        <w:jc w:val="both"/>
        <w:rPr>
          <w:color w:val="000000"/>
          <w:sz w:val="18"/>
          <w:szCs w:val="18"/>
        </w:rPr>
      </w:pPr>
      <w:r>
        <w:rPr>
          <w:color w:val="000000"/>
          <w:sz w:val="18"/>
          <w:szCs w:val="18"/>
        </w:rPr>
        <w:t>Gana Energía cuenta con las tarifas de precio fijo más asequibles del mercado, tanto para industria y grandes empresas como para pymes y sector residencial. Para este último se encuentran distintos tipos de tarifas para satisfacer las necesidades y hábitos</w:t>
      </w:r>
      <w:r>
        <w:rPr>
          <w:color w:val="000000"/>
          <w:sz w:val="18"/>
          <w:szCs w:val="18"/>
        </w:rPr>
        <w:t xml:space="preserve"> de consumo de cada usuario, entre las que se encuentra la discriminación horaria, la de las 24 horas el mismo precio e incluso la de tres periodos para aquellos usuarios que dispongan de un vehículo eléctrico.</w:t>
      </w:r>
    </w:p>
    <w:p w:rsidR="003A22BA" w:rsidRDefault="003A22BA">
      <w:pPr>
        <w:spacing w:after="200" w:line="276" w:lineRule="auto"/>
        <w:rPr>
          <w:b/>
          <w:i/>
          <w:sz w:val="20"/>
          <w:szCs w:val="20"/>
          <w:u w:val="single"/>
        </w:rPr>
      </w:pPr>
    </w:p>
    <w:p w:rsidR="003A22BA" w:rsidRDefault="003A22BA">
      <w:pPr>
        <w:spacing w:after="200" w:line="276" w:lineRule="auto"/>
        <w:rPr>
          <w:b/>
          <w:i/>
          <w:sz w:val="20"/>
          <w:szCs w:val="20"/>
          <w:u w:val="single"/>
        </w:rPr>
      </w:pPr>
    </w:p>
    <w:p w:rsidR="003A22BA" w:rsidRDefault="003A22BA">
      <w:pPr>
        <w:spacing w:after="200" w:line="276" w:lineRule="auto"/>
        <w:rPr>
          <w:b/>
          <w:i/>
          <w:sz w:val="20"/>
          <w:szCs w:val="20"/>
          <w:u w:val="single"/>
        </w:rPr>
      </w:pPr>
    </w:p>
    <w:p w:rsidR="003A22BA" w:rsidRDefault="00F80142">
      <w:pPr>
        <w:spacing w:after="200" w:line="276" w:lineRule="auto"/>
        <w:ind w:left="142"/>
        <w:rPr>
          <w:b/>
          <w:i/>
          <w:sz w:val="20"/>
          <w:szCs w:val="20"/>
          <w:u w:val="single"/>
        </w:rPr>
      </w:pPr>
      <w:r>
        <w:rPr>
          <w:b/>
          <w:i/>
          <w:sz w:val="20"/>
          <w:szCs w:val="20"/>
          <w:u w:val="single"/>
        </w:rPr>
        <w:t>Para más información</w:t>
      </w:r>
    </w:p>
    <w:tbl>
      <w:tblPr>
        <w:tblStyle w:val="a"/>
        <w:tblW w:w="8362"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8115"/>
        <w:gridCol w:w="247"/>
      </w:tblGrid>
      <w:tr w:rsidR="003A22BA">
        <w:tc>
          <w:tcPr>
            <w:tcW w:w="8115" w:type="dxa"/>
          </w:tcPr>
          <w:p w:rsidR="003A22BA" w:rsidRDefault="003A22BA">
            <w:pPr>
              <w:spacing w:after="200" w:line="276" w:lineRule="auto"/>
              <w:rPr>
                <w:sz w:val="20"/>
                <w:szCs w:val="20"/>
              </w:rPr>
            </w:pPr>
          </w:p>
          <w:p w:rsidR="003A22BA" w:rsidRDefault="00F80142">
            <w:pPr>
              <w:spacing w:after="200" w:line="276" w:lineRule="auto"/>
              <w:ind w:left="142"/>
              <w:rPr>
                <w:b/>
                <w:sz w:val="20"/>
                <w:szCs w:val="20"/>
              </w:rPr>
            </w:pPr>
            <w:r>
              <w:rPr>
                <w:b/>
                <w:sz w:val="20"/>
                <w:szCs w:val="20"/>
              </w:rPr>
              <w:t>Gana Energía</w:t>
            </w:r>
          </w:p>
          <w:p w:rsidR="003A22BA" w:rsidRDefault="00F80142">
            <w:pPr>
              <w:spacing w:after="200" w:line="276" w:lineRule="auto"/>
              <w:ind w:left="142"/>
              <w:rPr>
                <w:sz w:val="20"/>
                <w:szCs w:val="20"/>
              </w:rPr>
            </w:pPr>
            <w:r>
              <w:rPr>
                <w:sz w:val="20"/>
                <w:szCs w:val="20"/>
              </w:rPr>
              <w:t>Actitud</w:t>
            </w:r>
            <w:r>
              <w:rPr>
                <w:sz w:val="20"/>
                <w:szCs w:val="20"/>
              </w:rPr>
              <w:t xml:space="preserve"> de Comunicación</w:t>
            </w:r>
          </w:p>
          <w:p w:rsidR="003A22BA" w:rsidRDefault="00F80142">
            <w:pPr>
              <w:spacing w:after="200" w:line="276" w:lineRule="auto"/>
              <w:ind w:left="142"/>
              <w:rPr>
                <w:color w:val="0000FF"/>
                <w:sz w:val="20"/>
                <w:szCs w:val="20"/>
                <w:u w:val="single"/>
              </w:rPr>
            </w:pPr>
            <w:r>
              <w:rPr>
                <w:sz w:val="20"/>
                <w:szCs w:val="20"/>
              </w:rPr>
              <w:t>Cinthia Mañana</w:t>
            </w:r>
            <w:r>
              <w:t xml:space="preserve">/ </w:t>
            </w:r>
            <w:hyperlink r:id="rId10">
              <w:r>
                <w:rPr>
                  <w:color w:val="0563C1"/>
                  <w:sz w:val="20"/>
                  <w:szCs w:val="20"/>
                  <w:u w:val="single"/>
                </w:rPr>
                <w:t>cinthia.manana@actitud.es</w:t>
              </w:r>
            </w:hyperlink>
          </w:p>
          <w:p w:rsidR="003A22BA" w:rsidRDefault="00F80142">
            <w:pPr>
              <w:spacing w:after="200" w:line="276" w:lineRule="auto"/>
              <w:ind w:left="142"/>
            </w:pPr>
            <w:r>
              <w:rPr>
                <w:sz w:val="20"/>
                <w:szCs w:val="20"/>
              </w:rPr>
              <w:t>Marga González</w:t>
            </w:r>
            <w:r>
              <w:t xml:space="preserve">/ </w:t>
            </w:r>
            <w:r>
              <w:rPr>
                <w:color w:val="0000FF"/>
                <w:sz w:val="20"/>
                <w:szCs w:val="20"/>
                <w:u w:val="single"/>
              </w:rPr>
              <w:t>marga.gonzalez@actitud.es</w:t>
            </w:r>
          </w:p>
          <w:p w:rsidR="003A22BA" w:rsidRDefault="00F80142">
            <w:pPr>
              <w:spacing w:after="200" w:line="276" w:lineRule="auto"/>
              <w:ind w:left="708" w:hanging="566"/>
              <w:rPr>
                <w:sz w:val="20"/>
                <w:szCs w:val="20"/>
              </w:rPr>
            </w:pPr>
            <w:r>
              <w:rPr>
                <w:sz w:val="20"/>
                <w:szCs w:val="20"/>
              </w:rPr>
              <w:t>Teléfono: 913022860</w:t>
            </w:r>
          </w:p>
          <w:p w:rsidR="003A22BA" w:rsidRDefault="003A22BA">
            <w:pPr>
              <w:spacing w:after="200" w:line="276" w:lineRule="auto"/>
              <w:ind w:left="708" w:hanging="566"/>
              <w:rPr>
                <w:sz w:val="20"/>
                <w:szCs w:val="20"/>
              </w:rPr>
            </w:pPr>
          </w:p>
          <w:p w:rsidR="003A22BA" w:rsidRDefault="00F80142">
            <w:pPr>
              <w:spacing w:after="200" w:line="276" w:lineRule="auto"/>
              <w:ind w:left="708" w:hanging="566"/>
              <w:rPr>
                <w:sz w:val="20"/>
                <w:szCs w:val="20"/>
              </w:rPr>
            </w:pPr>
            <w:hyperlink r:id="rId11">
              <w:r>
                <w:rPr>
                  <w:color w:val="0000FF"/>
                  <w:sz w:val="20"/>
                  <w:szCs w:val="20"/>
                  <w:u w:val="single"/>
                </w:rPr>
                <w:t>www.ganaenergia.com</w:t>
              </w:r>
            </w:hyperlink>
          </w:p>
          <w:p w:rsidR="003A22BA" w:rsidRDefault="003A22BA">
            <w:pPr>
              <w:spacing w:after="200" w:line="276" w:lineRule="auto"/>
              <w:rPr>
                <w:sz w:val="20"/>
                <w:szCs w:val="20"/>
              </w:rPr>
            </w:pPr>
          </w:p>
          <w:p w:rsidR="003A22BA" w:rsidRDefault="003A22BA">
            <w:pPr>
              <w:spacing w:after="200" w:line="276" w:lineRule="auto"/>
              <w:rPr>
                <w:sz w:val="20"/>
                <w:szCs w:val="20"/>
              </w:rPr>
            </w:pPr>
          </w:p>
          <w:p w:rsidR="003A22BA" w:rsidRDefault="00F80142">
            <w:pPr>
              <w:spacing w:after="200" w:line="276" w:lineRule="auto"/>
              <w:ind w:left="708" w:hanging="566"/>
              <w:rPr>
                <w:sz w:val="20"/>
                <w:szCs w:val="20"/>
              </w:rPr>
            </w:pPr>
            <w:r>
              <w:rPr>
                <w:noProof/>
                <w:sz w:val="20"/>
                <w:szCs w:val="20"/>
                <w:lang w:val="es-ES"/>
              </w:rPr>
              <w:drawing>
                <wp:inline distT="0" distB="0" distL="0" distR="0">
                  <wp:extent cx="198120" cy="30480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198120" cy="304800"/>
                          </a:xfrm>
                          <a:prstGeom prst="rect">
                            <a:avLst/>
                          </a:prstGeom>
                          <a:ln/>
                        </pic:spPr>
                      </pic:pic>
                    </a:graphicData>
                  </a:graphic>
                </wp:inline>
              </w:drawing>
            </w:r>
            <w:r>
              <w:rPr>
                <w:noProof/>
                <w:sz w:val="20"/>
                <w:szCs w:val="20"/>
                <w:lang w:val="es-ES"/>
              </w:rPr>
              <w:drawing>
                <wp:inline distT="0" distB="0" distL="0" distR="0">
                  <wp:extent cx="343535" cy="277495"/>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43535" cy="277495"/>
                          </a:xfrm>
                          <a:prstGeom prst="rect">
                            <a:avLst/>
                          </a:prstGeom>
                          <a:ln/>
                        </pic:spPr>
                      </pic:pic>
                    </a:graphicData>
                  </a:graphic>
                </wp:inline>
              </w:drawing>
            </w:r>
            <w:r>
              <w:rPr>
                <w:noProof/>
                <w:sz w:val="20"/>
                <w:szCs w:val="20"/>
                <w:lang w:val="es-ES"/>
              </w:rPr>
              <w:drawing>
                <wp:inline distT="0" distB="0" distL="0" distR="0">
                  <wp:extent cx="295275" cy="304800"/>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295275" cy="304800"/>
                          </a:xfrm>
                          <a:prstGeom prst="rect">
                            <a:avLst/>
                          </a:prstGeom>
                          <a:ln/>
                        </pic:spPr>
                      </pic:pic>
                    </a:graphicData>
                  </a:graphic>
                </wp:inline>
              </w:drawing>
            </w:r>
            <w:r>
              <w:rPr>
                <w:noProof/>
                <w:sz w:val="20"/>
                <w:szCs w:val="20"/>
                <w:lang w:val="es-ES"/>
              </w:rPr>
              <w:drawing>
                <wp:inline distT="0" distB="0" distL="0" distR="0">
                  <wp:extent cx="378460" cy="311150"/>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378460" cy="311150"/>
                          </a:xfrm>
                          <a:prstGeom prst="rect">
                            <a:avLst/>
                          </a:prstGeom>
                          <a:ln/>
                        </pic:spPr>
                      </pic:pic>
                    </a:graphicData>
                  </a:graphic>
                </wp:inline>
              </w:drawing>
            </w:r>
          </w:p>
          <w:p w:rsidR="003A22BA" w:rsidRDefault="003A22BA">
            <w:pPr>
              <w:spacing w:after="200" w:line="276" w:lineRule="auto"/>
              <w:rPr>
                <w:sz w:val="20"/>
                <w:szCs w:val="20"/>
              </w:rPr>
            </w:pPr>
          </w:p>
        </w:tc>
        <w:tc>
          <w:tcPr>
            <w:tcW w:w="247" w:type="dxa"/>
          </w:tcPr>
          <w:p w:rsidR="003A22BA" w:rsidRDefault="003A22BA">
            <w:pPr>
              <w:spacing w:after="200" w:line="276" w:lineRule="auto"/>
              <w:rPr>
                <w:sz w:val="20"/>
                <w:szCs w:val="20"/>
              </w:rPr>
            </w:pPr>
          </w:p>
        </w:tc>
      </w:tr>
    </w:tbl>
    <w:p w:rsidR="003A22BA" w:rsidRDefault="003A22BA">
      <w:pPr>
        <w:spacing w:after="200" w:line="276" w:lineRule="auto"/>
      </w:pPr>
    </w:p>
    <w:p w:rsidR="003A22BA" w:rsidRDefault="003A22BA"/>
    <w:sectPr w:rsidR="003A22BA">
      <w:headerReference w:type="default" r:id="rId16"/>
      <w:pgSz w:w="11906" w:h="16838"/>
      <w:pgMar w:top="1417" w:right="1701" w:bottom="993"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80142">
      <w:pPr>
        <w:spacing w:after="0" w:line="240" w:lineRule="auto"/>
      </w:pPr>
      <w:r>
        <w:separator/>
      </w:r>
    </w:p>
  </w:endnote>
  <w:endnote w:type="continuationSeparator" w:id="0">
    <w:p w:rsidR="00000000" w:rsidRDefault="00F80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80142">
      <w:pPr>
        <w:spacing w:after="0" w:line="240" w:lineRule="auto"/>
      </w:pPr>
      <w:r>
        <w:separator/>
      </w:r>
    </w:p>
  </w:footnote>
  <w:footnote w:type="continuationSeparator" w:id="0">
    <w:p w:rsidR="00000000" w:rsidRDefault="00F801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2BA" w:rsidRDefault="00F80142">
    <w:pPr>
      <w:pBdr>
        <w:top w:val="nil"/>
        <w:left w:val="nil"/>
        <w:bottom w:val="nil"/>
        <w:right w:val="nil"/>
        <w:between w:val="nil"/>
      </w:pBdr>
      <w:tabs>
        <w:tab w:val="center" w:pos="4252"/>
        <w:tab w:val="right" w:pos="8504"/>
      </w:tabs>
      <w:spacing w:after="0" w:line="240" w:lineRule="auto"/>
      <w:jc w:val="right"/>
      <w:rPr>
        <w:color w:val="000000"/>
      </w:rPr>
    </w:pPr>
    <w:r>
      <w:rPr>
        <w:noProof/>
        <w:lang w:val="es-ES"/>
      </w:rPr>
      <w:drawing>
        <wp:inline distT="114300" distB="114300" distL="114300" distR="114300">
          <wp:extent cx="1704023" cy="408725"/>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04023" cy="408725"/>
                  </a:xfrm>
                  <a:prstGeom prst="rect">
                    <a:avLst/>
                  </a:prstGeom>
                  <a:ln/>
                </pic:spPr>
              </pic:pic>
            </a:graphicData>
          </a:graphic>
        </wp:inline>
      </w:drawing>
    </w:r>
    <w:r>
      <w:rPr>
        <w:noProof/>
        <w:lang w:val="es-ES"/>
      </w:rPr>
      <w:drawing>
        <wp:anchor distT="0" distB="0" distL="114300" distR="114300" simplePos="0" relativeHeight="251658240" behindDoc="0" locked="0" layoutInCell="1" hidden="0" allowOverlap="1">
          <wp:simplePos x="0" y="0"/>
          <wp:positionH relativeFrom="column">
            <wp:posOffset>-594359</wp:posOffset>
          </wp:positionH>
          <wp:positionV relativeFrom="paragraph">
            <wp:posOffset>-201929</wp:posOffset>
          </wp:positionV>
          <wp:extent cx="762000" cy="593531"/>
          <wp:effectExtent l="0" t="0" r="0" b="0"/>
          <wp:wrapSquare wrapText="bothSides" distT="0" distB="0" distL="114300" distR="114300"/>
          <wp:docPr id="12" name="image2.png" descr="coplandmarket"/>
          <wp:cNvGraphicFramePr/>
          <a:graphic xmlns:a="http://schemas.openxmlformats.org/drawingml/2006/main">
            <a:graphicData uri="http://schemas.openxmlformats.org/drawingml/2006/picture">
              <pic:pic xmlns:pic="http://schemas.openxmlformats.org/drawingml/2006/picture">
                <pic:nvPicPr>
                  <pic:cNvPr id="0" name="image2.png" descr="coplandmarket"/>
                  <pic:cNvPicPr preferRelativeResize="0"/>
                </pic:nvPicPr>
                <pic:blipFill>
                  <a:blip r:embed="rId2"/>
                  <a:srcRect/>
                  <a:stretch>
                    <a:fillRect/>
                  </a:stretch>
                </pic:blipFill>
                <pic:spPr>
                  <a:xfrm>
                    <a:off x="0" y="0"/>
                    <a:ext cx="762000" cy="5935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AE7805"/>
    <w:multiLevelType w:val="multilevel"/>
    <w:tmpl w:val="75B89B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2BA"/>
    <w:rsid w:val="003A22BA"/>
    <w:rsid w:val="00F801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EED03-F3FE-4874-8025-9A921F78E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021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2120"/>
  </w:style>
  <w:style w:type="table" w:customStyle="1" w:styleId="Tablaconcuadrcula1">
    <w:name w:val="Tabla con cuadrícula1"/>
    <w:basedOn w:val="Tablanormal"/>
    <w:next w:val="Tablaconcuadrcula"/>
    <w:uiPriority w:val="59"/>
    <w:rsid w:val="00A02120"/>
    <w:pPr>
      <w:spacing w:after="0" w:line="240" w:lineRule="auto"/>
    </w:pPr>
    <w:rPr>
      <w:rFonts w:eastAsia="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02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2120"/>
    <w:rPr>
      <w:color w:val="0563C1" w:themeColor="hyperlink"/>
      <w:u w:val="single"/>
    </w:rPr>
  </w:style>
  <w:style w:type="paragraph" w:styleId="Piedepgina">
    <w:name w:val="footer"/>
    <w:basedOn w:val="Normal"/>
    <w:link w:val="PiedepginaCar"/>
    <w:uiPriority w:val="99"/>
    <w:unhideWhenUsed/>
    <w:rsid w:val="00A319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3194D"/>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anaenergia.com"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naenergia.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cinthia.manana@actitud.es" TargetMode="External"/><Relationship Id="rId4" Type="http://schemas.openxmlformats.org/officeDocument/2006/relationships/settings" Target="settings.xml"/><Relationship Id="rId9" Type="http://schemas.openxmlformats.org/officeDocument/2006/relationships/hyperlink" Target="http://www.ganaenergia.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vVoBkVXY8fca0kC95hebjBULdg==">AMUW2mVzEENeGTDtvRMISFzNrCNwVbRVY3QF4K17MLaBEFDnXpBMh2HqRtWpRh6nfIIQ21WJjYjfN3q58t6D691fv4HRpOgWU1pu7sjRkm6USf+hoVOVBO+8M8hKWKTCN9GbQ5CqN3+E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2886</Characters>
  <Application>Microsoft Office Word</Application>
  <DocSecurity>0</DocSecurity>
  <Lines>24</Lines>
  <Paragraphs>6</Paragraphs>
  <ScaleCrop>false</ScaleCrop>
  <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Cinthia Mañana Ndong</dc:creator>
  <cp:lastModifiedBy>Actitud</cp:lastModifiedBy>
  <cp:revision>2</cp:revision>
  <dcterms:created xsi:type="dcterms:W3CDTF">2021-08-13T10:31:00Z</dcterms:created>
  <dcterms:modified xsi:type="dcterms:W3CDTF">2021-08-26T10:28:00Z</dcterms:modified>
</cp:coreProperties>
</file>