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8778" w14:textId="77777777" w:rsidR="00D94FAA" w:rsidRDefault="00BE3A18">
      <w:pPr>
        <w:jc w:val="both"/>
        <w:rPr>
          <w:rFonts w:ascii="Lato" w:eastAsia="Lato" w:hAnsi="Lato" w:cs="Lato"/>
          <w:b/>
          <w:i/>
          <w:sz w:val="22"/>
          <w:szCs w:val="22"/>
        </w:rPr>
      </w:pPr>
      <w:r>
        <w:rPr>
          <w:rFonts w:ascii="Lato" w:eastAsia="Lato" w:hAnsi="Lato" w:cs="Lato"/>
          <w:b/>
          <w:i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hidden="0" allowOverlap="1" wp14:anchorId="17B048D3" wp14:editId="60E67B40">
            <wp:simplePos x="0" y="0"/>
            <wp:positionH relativeFrom="page">
              <wp:posOffset>5137785</wp:posOffset>
            </wp:positionH>
            <wp:positionV relativeFrom="page">
              <wp:posOffset>61595</wp:posOffset>
            </wp:positionV>
            <wp:extent cx="1831340" cy="742950"/>
            <wp:effectExtent l="0" t="0" r="0" b="0"/>
            <wp:wrapSquare wrapText="bothSides" distT="0" distB="0" distL="114300" distR="11430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40CC6E" w14:textId="77777777" w:rsidR="00D94FAA" w:rsidRDefault="00D94FAA">
      <w:pPr>
        <w:jc w:val="both"/>
        <w:rPr>
          <w:rFonts w:ascii="Lato" w:eastAsia="Lato" w:hAnsi="Lato" w:cs="Lato"/>
          <w:b/>
          <w:i/>
          <w:sz w:val="22"/>
          <w:szCs w:val="22"/>
        </w:rPr>
      </w:pPr>
    </w:p>
    <w:p w14:paraId="43EF5687" w14:textId="77777777" w:rsidR="00D94FAA" w:rsidRDefault="00BE3A18">
      <w:pPr>
        <w:jc w:val="both"/>
        <w:rPr>
          <w:rFonts w:ascii="Lato" w:eastAsia="Lato" w:hAnsi="Lato" w:cs="Lato"/>
          <w:b/>
          <w:i/>
          <w:sz w:val="22"/>
          <w:szCs w:val="22"/>
        </w:rPr>
      </w:pPr>
      <w:r>
        <w:rPr>
          <w:rFonts w:ascii="Lato" w:eastAsia="Lato" w:hAnsi="Lato" w:cs="Lato"/>
          <w:b/>
          <w:i/>
          <w:sz w:val="22"/>
          <w:szCs w:val="22"/>
        </w:rPr>
        <w:t>Junto a otras 32 organizaciones de pacientes, sanitarios y otras organizaciones científicas,</w:t>
      </w:r>
    </w:p>
    <w:p w14:paraId="4FD74638" w14:textId="77777777" w:rsidR="00D94FAA" w:rsidRDefault="00D94FAA">
      <w:pPr>
        <w:rPr>
          <w:rFonts w:ascii="Roboto" w:eastAsia="Roboto" w:hAnsi="Roboto" w:cs="Roboto"/>
          <w:b/>
        </w:rPr>
      </w:pPr>
    </w:p>
    <w:p w14:paraId="10ADAFA2" w14:textId="77777777" w:rsidR="00D94FAA" w:rsidRDefault="00BE3A18">
      <w:pPr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 xml:space="preserve">La AEC firma un Manifiesto en favor de la Salud Osteoarticular y de combatir la Obesidad  </w:t>
      </w:r>
    </w:p>
    <w:p w14:paraId="723792CB" w14:textId="77777777" w:rsidR="00D94FAA" w:rsidRDefault="00D94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b/>
          <w:sz w:val="22"/>
          <w:szCs w:val="22"/>
        </w:rPr>
      </w:pPr>
    </w:p>
    <w:p w14:paraId="590777BF" w14:textId="77777777" w:rsidR="00D94FAA" w:rsidRDefault="00BE3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rFonts w:ascii="Lato" w:eastAsia="Lato" w:hAnsi="Lato" w:cs="Lato"/>
          <w:b/>
          <w:sz w:val="22"/>
          <w:szCs w:val="22"/>
        </w:rPr>
      </w:pPr>
      <w:r>
        <w:rPr>
          <w:rFonts w:ascii="Lato" w:eastAsia="Lato" w:hAnsi="Lato" w:cs="Lato"/>
          <w:b/>
          <w:sz w:val="22"/>
          <w:szCs w:val="22"/>
        </w:rPr>
        <w:t>España es uno de los países europeos con mayor índice de obesidad infantil y juvenil. El 80% de los adolescentes con obesidad llegan a la edad adulta manteniendo esa situación</w:t>
      </w:r>
    </w:p>
    <w:p w14:paraId="0E89B9EC" w14:textId="77777777" w:rsidR="00D94FAA" w:rsidRDefault="00D94FA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ato" w:eastAsia="Lato" w:hAnsi="Lato" w:cs="Lato"/>
          <w:b/>
          <w:sz w:val="22"/>
          <w:szCs w:val="22"/>
          <w:highlight w:val="yellow"/>
        </w:rPr>
      </w:pPr>
    </w:p>
    <w:p w14:paraId="54AE5CEA" w14:textId="77777777" w:rsidR="00D94FAA" w:rsidRDefault="00BE3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rFonts w:ascii="Lato" w:eastAsia="Lato" w:hAnsi="Lato" w:cs="Lato"/>
          <w:b/>
          <w:sz w:val="22"/>
          <w:szCs w:val="22"/>
        </w:rPr>
      </w:pPr>
      <w:r>
        <w:rPr>
          <w:rFonts w:ascii="Lato" w:eastAsia="Lato" w:hAnsi="Lato" w:cs="Lato"/>
          <w:b/>
          <w:sz w:val="22"/>
          <w:szCs w:val="22"/>
        </w:rPr>
        <w:t>Se estima que en 2030 se alcancen en España los 420.000 casos de fracturas óseas por fragilidad unido a la alta tasa de morbi-mortalidad</w:t>
      </w:r>
    </w:p>
    <w:p w14:paraId="402F501B" w14:textId="77777777" w:rsidR="00D94FAA" w:rsidRDefault="00D94FA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ato" w:eastAsia="Lato" w:hAnsi="Lato" w:cs="Lato"/>
          <w:b/>
          <w:sz w:val="22"/>
          <w:szCs w:val="22"/>
        </w:rPr>
      </w:pPr>
    </w:p>
    <w:p w14:paraId="7220E024" w14:textId="77777777" w:rsidR="00D94FAA" w:rsidRDefault="00D94F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b/>
          <w:sz w:val="22"/>
          <w:szCs w:val="22"/>
        </w:rPr>
      </w:pPr>
    </w:p>
    <w:p w14:paraId="7243B817" w14:textId="33C952AB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  <w:sz w:val="22"/>
          <w:szCs w:val="22"/>
        </w:rPr>
        <w:t xml:space="preserve">Madrid, </w:t>
      </w:r>
      <w:r w:rsidR="00EF200F">
        <w:rPr>
          <w:rFonts w:ascii="Lato" w:eastAsia="Lato" w:hAnsi="Lato" w:cs="Lato"/>
          <w:b/>
          <w:sz w:val="22"/>
          <w:szCs w:val="22"/>
        </w:rPr>
        <w:t>21</w:t>
      </w:r>
      <w:r>
        <w:rPr>
          <w:rFonts w:ascii="Lato" w:eastAsia="Lato" w:hAnsi="Lato" w:cs="Lato"/>
          <w:b/>
          <w:sz w:val="22"/>
          <w:szCs w:val="22"/>
        </w:rPr>
        <w:t xml:space="preserve"> de marzo de 2023.-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b/>
          <w:sz w:val="22"/>
          <w:szCs w:val="22"/>
        </w:rPr>
        <w:t>En España hay más de siete millones de personas diagnosticadas de artrosis y más de tres con osteoporosis</w:t>
      </w:r>
      <w:r>
        <w:rPr>
          <w:rFonts w:ascii="Lato" w:eastAsia="Lato" w:hAnsi="Lato" w:cs="Lato"/>
          <w:sz w:val="22"/>
          <w:szCs w:val="22"/>
        </w:rPr>
        <w:t xml:space="preserve">. Por eso, la </w:t>
      </w:r>
      <w:hyperlink r:id="rId9">
        <w:r>
          <w:rPr>
            <w:rFonts w:ascii="Lato" w:eastAsia="Lato" w:hAnsi="Lato" w:cs="Lato"/>
            <w:b/>
            <w:color w:val="1155CC"/>
            <w:sz w:val="22"/>
            <w:szCs w:val="22"/>
            <w:u w:val="single"/>
          </w:rPr>
          <w:t>Asociación Española de Cirujanos</w:t>
        </w:r>
      </w:hyperlink>
      <w:r>
        <w:rPr>
          <w:rFonts w:ascii="Lato" w:eastAsia="Lato" w:hAnsi="Lato" w:cs="Lato"/>
          <w:sz w:val="22"/>
          <w:szCs w:val="22"/>
        </w:rPr>
        <w:t xml:space="preserve"> ha firmado junto a más de 30 organizaciones de pacientes, sanitarios y otras organizaciones científicas un </w:t>
      </w:r>
      <w:hyperlink r:id="rId10">
        <w:r>
          <w:rPr>
            <w:rFonts w:ascii="Lato" w:eastAsia="Lato" w:hAnsi="Lato" w:cs="Lato"/>
            <w:b/>
            <w:color w:val="1155CC"/>
            <w:sz w:val="22"/>
            <w:szCs w:val="22"/>
            <w:u w:val="single"/>
          </w:rPr>
          <w:t>Manifiesto en favor de la Salud Osteoarticular y de combatir la Obesidad</w:t>
        </w:r>
      </w:hyperlink>
      <w:r>
        <w:rPr>
          <w:rFonts w:ascii="Lato" w:eastAsia="Lato" w:hAnsi="Lato" w:cs="Lato"/>
          <w:sz w:val="22"/>
          <w:szCs w:val="22"/>
        </w:rPr>
        <w:t>.</w:t>
      </w:r>
    </w:p>
    <w:p w14:paraId="2AFA43AA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1" w:name="_heading=h.ut4a6ofaw45z" w:colFirst="0" w:colLast="0"/>
      <w:bookmarkEnd w:id="1"/>
    </w:p>
    <w:p w14:paraId="5E02AD98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2" w:name="_heading=h.di2bgg93il4s" w:colFirst="0" w:colLast="0"/>
      <w:bookmarkEnd w:id="2"/>
      <w:r>
        <w:rPr>
          <w:rFonts w:ascii="Lato" w:eastAsia="Lato" w:hAnsi="Lato" w:cs="Lato"/>
          <w:sz w:val="22"/>
          <w:szCs w:val="22"/>
        </w:rPr>
        <w:t xml:space="preserve">Se estima que la cantidad de </w:t>
      </w:r>
      <w:r>
        <w:rPr>
          <w:rFonts w:ascii="Lato" w:eastAsia="Lato" w:hAnsi="Lato" w:cs="Lato"/>
          <w:b/>
          <w:sz w:val="22"/>
          <w:szCs w:val="22"/>
        </w:rPr>
        <w:t xml:space="preserve">fracturas óseas por fragilidad aumente cerca de un 30% </w:t>
      </w:r>
      <w:r>
        <w:rPr>
          <w:rFonts w:ascii="Lato" w:eastAsia="Lato" w:hAnsi="Lato" w:cs="Lato"/>
          <w:sz w:val="22"/>
          <w:szCs w:val="22"/>
        </w:rPr>
        <w:t xml:space="preserve">y que </w:t>
      </w:r>
      <w:r>
        <w:rPr>
          <w:rFonts w:ascii="Lato" w:eastAsia="Lato" w:hAnsi="Lato" w:cs="Lato"/>
          <w:b/>
          <w:sz w:val="22"/>
          <w:szCs w:val="22"/>
        </w:rPr>
        <w:t>en 2030 se alcancen los 420.000 casos</w:t>
      </w:r>
      <w:r>
        <w:rPr>
          <w:rFonts w:ascii="Lato" w:eastAsia="Lato" w:hAnsi="Lato" w:cs="Lato"/>
          <w:sz w:val="22"/>
          <w:szCs w:val="22"/>
        </w:rPr>
        <w:t xml:space="preserve">, vinculados a una alta tasa de morbi-mortalidad, lo que supone un creciente problema de salud pública. </w:t>
      </w:r>
    </w:p>
    <w:p w14:paraId="27CA7C15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3" w:name="_heading=h.sew1tej1ucvm" w:colFirst="0" w:colLast="0"/>
      <w:bookmarkEnd w:id="3"/>
    </w:p>
    <w:p w14:paraId="1E06FFA2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4" w:name="_heading=h.1gxpsfw3nkt8" w:colFirst="0" w:colLast="0"/>
      <w:bookmarkEnd w:id="4"/>
      <w:r>
        <w:rPr>
          <w:rFonts w:ascii="Lato" w:eastAsia="Lato" w:hAnsi="Lato" w:cs="Lato"/>
          <w:sz w:val="22"/>
          <w:szCs w:val="22"/>
        </w:rPr>
        <w:t>A pesar de la necesaria prevención de estas enfermedades, así como el diagnóstico precoz, su tratamiento y seguimiento, en la actualidad hay una baja prescripción de tratamiento antiosteoporótico, incluso tras una primera fractura por fragilidad y teniendo en cuenta el riesgo de que aumente entre 2 y 5 veces la posibilidad de que se vuelva a producir.</w:t>
      </w:r>
    </w:p>
    <w:p w14:paraId="0D89A0B4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5" w:name="_heading=h.pdbr8uqp619" w:colFirst="0" w:colLast="0"/>
      <w:bookmarkEnd w:id="5"/>
    </w:p>
    <w:p w14:paraId="73E6CB5D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6" w:name="_heading=h.2bfu1u2pp5wu" w:colFirst="0" w:colLast="0"/>
      <w:bookmarkEnd w:id="6"/>
      <w:r>
        <w:rPr>
          <w:rFonts w:ascii="Lato" w:eastAsia="Lato" w:hAnsi="Lato" w:cs="Lato"/>
          <w:sz w:val="22"/>
          <w:szCs w:val="22"/>
        </w:rPr>
        <w:t xml:space="preserve">Aunque las patologías osteoarticulares afectan en mayor proporción a personas mayores y mujeres, también se diagnostica en jóvenes por diversos factores como el deporte, la menopausia precoz, otros procesos articulares y en gran medida a </w:t>
      </w:r>
      <w:r>
        <w:rPr>
          <w:rFonts w:ascii="Lato" w:eastAsia="Lato" w:hAnsi="Lato" w:cs="Lato"/>
          <w:b/>
          <w:sz w:val="22"/>
          <w:szCs w:val="22"/>
        </w:rPr>
        <w:t>la obesidad</w:t>
      </w:r>
      <w:r>
        <w:rPr>
          <w:rFonts w:ascii="Lato" w:eastAsia="Lato" w:hAnsi="Lato" w:cs="Lato"/>
          <w:sz w:val="22"/>
          <w:szCs w:val="22"/>
        </w:rPr>
        <w:t>.</w:t>
      </w:r>
    </w:p>
    <w:p w14:paraId="7814B4E7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7" w:name="_heading=h.cvpxwtt13j09" w:colFirst="0" w:colLast="0"/>
      <w:bookmarkEnd w:id="7"/>
    </w:p>
    <w:p w14:paraId="4D6D0784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8" w:name="_heading=h.puxpd9elw9jg" w:colFirst="0" w:colLast="0"/>
      <w:bookmarkEnd w:id="8"/>
      <w:r>
        <w:rPr>
          <w:rFonts w:ascii="Lato" w:eastAsia="Lato" w:hAnsi="Lato" w:cs="Lato"/>
          <w:sz w:val="22"/>
          <w:szCs w:val="22"/>
        </w:rPr>
        <w:t xml:space="preserve">Actualmente, España es uno de los países europeos con mayor índice de obesidad infantil y juvenil. Un </w:t>
      </w:r>
      <w:r>
        <w:rPr>
          <w:rFonts w:ascii="Lato" w:eastAsia="Lato" w:hAnsi="Lato" w:cs="Lato"/>
          <w:b/>
          <w:sz w:val="22"/>
          <w:szCs w:val="22"/>
        </w:rPr>
        <w:t>23,3 % de niños tienen sobrepeso y un 17,3 % presentan obesidad</w:t>
      </w:r>
      <w:r>
        <w:rPr>
          <w:rFonts w:ascii="Lato" w:eastAsia="Lato" w:hAnsi="Lato" w:cs="Lato"/>
          <w:sz w:val="22"/>
          <w:szCs w:val="22"/>
        </w:rPr>
        <w:t>.  Además, el 80% de los adolescentes con obesidad llegan a la edad adulta manteniendo esta situación.</w:t>
      </w:r>
    </w:p>
    <w:p w14:paraId="6AC627B2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9" w:name="_heading=h.4m5v6lcl4qhe" w:colFirst="0" w:colLast="0"/>
      <w:bookmarkEnd w:id="9"/>
    </w:p>
    <w:p w14:paraId="4EEDC236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10" w:name="_heading=h.5wri5guuynsl" w:colFirst="0" w:colLast="0"/>
      <w:bookmarkEnd w:id="10"/>
      <w:r>
        <w:rPr>
          <w:rFonts w:ascii="Lato" w:eastAsia="Lato" w:hAnsi="Lato" w:cs="Lato"/>
          <w:sz w:val="22"/>
          <w:szCs w:val="22"/>
        </w:rPr>
        <w:t xml:space="preserve">La salud articular, el dolor asociado, y la obesidad, afecta de manera directa a la movilidad de las personas y a su autonomía, además de estar vinculada  a otras comorbilidades como el dolor crónico, las enfermedades cardiovasculares, la diabetes, la alteración psico-emocional y anímica, etc.. Todo ello, genera el consumo de </w:t>
      </w:r>
      <w:r>
        <w:rPr>
          <w:rFonts w:ascii="Lato" w:eastAsia="Lato" w:hAnsi="Lato" w:cs="Lato"/>
          <w:b/>
          <w:sz w:val="22"/>
          <w:szCs w:val="22"/>
        </w:rPr>
        <w:t>recursos sanitarios y de afectación laboral</w:t>
      </w:r>
      <w:r>
        <w:rPr>
          <w:rFonts w:ascii="Lato" w:eastAsia="Lato" w:hAnsi="Lato" w:cs="Lato"/>
          <w:sz w:val="22"/>
          <w:szCs w:val="22"/>
        </w:rPr>
        <w:t xml:space="preserve">, teniendo un importante impacto no solo en los pacientes sino también en la sociedad. </w:t>
      </w:r>
    </w:p>
    <w:p w14:paraId="124076D9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11" w:name="_heading=h.dvbofln5hp4q" w:colFirst="0" w:colLast="0"/>
      <w:bookmarkEnd w:id="11"/>
    </w:p>
    <w:p w14:paraId="4E1C2585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12" w:name="_heading=h.zdmmh1vmuasx" w:colFirst="0" w:colLast="0"/>
      <w:bookmarkEnd w:id="12"/>
      <w:r>
        <w:rPr>
          <w:rFonts w:ascii="Lato" w:eastAsia="Lato" w:hAnsi="Lato" w:cs="Lato"/>
          <w:sz w:val="22"/>
          <w:szCs w:val="22"/>
        </w:rPr>
        <w:t>Según la</w:t>
      </w:r>
      <w:r>
        <w:rPr>
          <w:rFonts w:ascii="Lato" w:eastAsia="Lato" w:hAnsi="Lato" w:cs="Lato"/>
          <w:b/>
          <w:sz w:val="22"/>
          <w:szCs w:val="22"/>
        </w:rPr>
        <w:t xml:space="preserve"> coordinadora de la sección de Cirugía Bariátrica y Metabólica de la Asociación Española de Cirujanos, la Dra. Mª Dolores Frutos,</w:t>
      </w:r>
      <w:r>
        <w:rPr>
          <w:rFonts w:ascii="Lato" w:eastAsia="Lato" w:hAnsi="Lato" w:cs="Lato"/>
          <w:sz w:val="22"/>
          <w:szCs w:val="22"/>
        </w:rPr>
        <w:t xml:space="preserve"> “el abordaje de la obesidad debe incluirse como tratamiento de primera línea, ya que mejora el pronóstico de las articulaciones, y consecuentemente la calidad de vida y reducción de costes. Con pérdidas </w:t>
      </w:r>
      <w:r>
        <w:rPr>
          <w:rFonts w:ascii="Lato" w:eastAsia="Lato" w:hAnsi="Lato" w:cs="Lato"/>
          <w:sz w:val="22"/>
          <w:szCs w:val="22"/>
        </w:rPr>
        <w:lastRenderedPageBreak/>
        <w:t xml:space="preserve">del 5% del peso se empieza a mejorar el pronóstico de las patologías osteoarticulares, mientras que con pérdidas del 10% en combinación con el ejercicio se reduce la sintomatología y la calidad de vida percibida por los pacientes”. </w:t>
      </w:r>
    </w:p>
    <w:p w14:paraId="28D82C1F" w14:textId="77777777" w:rsidR="0010244F" w:rsidRDefault="0010244F">
      <w:pPr>
        <w:jc w:val="both"/>
        <w:rPr>
          <w:rFonts w:ascii="Lato" w:eastAsia="Lato" w:hAnsi="Lato" w:cs="Lato"/>
          <w:sz w:val="22"/>
          <w:szCs w:val="22"/>
        </w:rPr>
      </w:pPr>
    </w:p>
    <w:p w14:paraId="08215BB6" w14:textId="77777777" w:rsidR="00D94FAA" w:rsidRPr="00DC21D5" w:rsidRDefault="00AA5EED">
      <w:pPr>
        <w:jc w:val="both"/>
        <w:rPr>
          <w:rFonts w:ascii="Lato" w:eastAsia="Lato" w:hAnsi="Lato" w:cs="Lato"/>
          <w:sz w:val="22"/>
          <w:szCs w:val="22"/>
        </w:rPr>
      </w:pPr>
      <w:r w:rsidRPr="00E92759">
        <w:rPr>
          <w:rFonts w:ascii="Lato" w:eastAsia="Lato" w:hAnsi="Lato" w:cs="Lato"/>
          <w:i/>
          <w:sz w:val="22"/>
          <w:szCs w:val="22"/>
        </w:rPr>
        <w:t>“</w:t>
      </w:r>
      <w:r w:rsidR="00DC21D5" w:rsidRPr="00E92759">
        <w:rPr>
          <w:rFonts w:ascii="Lato" w:eastAsia="Lato" w:hAnsi="Lato" w:cs="Lato"/>
          <w:i/>
          <w:sz w:val="22"/>
          <w:szCs w:val="22"/>
        </w:rPr>
        <w:t>La</w:t>
      </w:r>
      <w:r w:rsidR="0010244F" w:rsidRPr="00E92759">
        <w:rPr>
          <w:rFonts w:ascii="Lato" w:eastAsia="Lato" w:hAnsi="Lato" w:cs="Lato"/>
          <w:i/>
          <w:sz w:val="22"/>
          <w:szCs w:val="22"/>
        </w:rPr>
        <w:t xml:space="preserve"> cirugía bariátrica está aprobada en la actualidad como tratamiento </w:t>
      </w:r>
      <w:r w:rsidR="00DC21D5" w:rsidRPr="00E92759">
        <w:rPr>
          <w:rFonts w:ascii="Lato" w:eastAsia="Lato" w:hAnsi="Lato" w:cs="Lato"/>
          <w:i/>
          <w:sz w:val="22"/>
          <w:szCs w:val="22"/>
        </w:rPr>
        <w:t xml:space="preserve">puente </w:t>
      </w:r>
      <w:r w:rsidR="0010244F" w:rsidRPr="00E92759">
        <w:rPr>
          <w:rFonts w:ascii="Lato" w:eastAsia="Lato" w:hAnsi="Lato" w:cs="Lato"/>
          <w:i/>
          <w:sz w:val="22"/>
          <w:szCs w:val="22"/>
        </w:rPr>
        <w:t>efectivo en pacientes con obesidad clínicamente severa que necesitan una cirugía ortopédica articular</w:t>
      </w:r>
      <w:bookmarkStart w:id="13" w:name="_heading=h.cz3ugelxfbks" w:colFirst="0" w:colLast="0"/>
      <w:bookmarkEnd w:id="13"/>
      <w:r w:rsidR="0010244F" w:rsidRPr="00E92759">
        <w:rPr>
          <w:rFonts w:ascii="Lato" w:eastAsia="Lato" w:hAnsi="Lato" w:cs="Lato"/>
          <w:i/>
          <w:sz w:val="22"/>
          <w:szCs w:val="22"/>
        </w:rPr>
        <w:t>.</w:t>
      </w:r>
      <w:r w:rsidR="00DC21D5" w:rsidRPr="00E92759">
        <w:rPr>
          <w:rFonts w:ascii="Lato" w:eastAsia="Lato" w:hAnsi="Lato" w:cs="Lato"/>
          <w:i/>
          <w:sz w:val="22"/>
          <w:szCs w:val="22"/>
        </w:rPr>
        <w:t xml:space="preserve"> Además, la cirugía bariátrica antes de la artroplastia completa de rodilla o de cadera ha demostrado disminuir el tiempo operatorio, la duración del ingreso hospitalario y las complicaciones tempranas. Es interesante destacar que casi el 30% de los pacientes que se someten a cirugía bariátrica rechazan la cirugía ortopédica prevista gracias a la mejoría de sus síntomas con la perdida de peso</w:t>
      </w:r>
      <w:r w:rsidRPr="00E92759">
        <w:rPr>
          <w:rFonts w:ascii="Lato" w:eastAsia="Lato" w:hAnsi="Lato" w:cs="Lato"/>
          <w:i/>
          <w:sz w:val="22"/>
          <w:szCs w:val="22"/>
        </w:rPr>
        <w:t>”</w:t>
      </w:r>
      <w:r w:rsidR="00DC21D5" w:rsidRPr="00E92759">
        <w:rPr>
          <w:rFonts w:ascii="Lato" w:eastAsia="Lato" w:hAnsi="Lato" w:cs="Lato"/>
          <w:i/>
          <w:sz w:val="22"/>
          <w:szCs w:val="22"/>
        </w:rPr>
        <w:t>.</w:t>
      </w:r>
      <w:r w:rsidR="00DC21D5" w:rsidRPr="00DC21D5">
        <w:rPr>
          <w:rFonts w:ascii="Lato" w:eastAsia="Lato" w:hAnsi="Lato" w:cs="Lato"/>
          <w:i/>
          <w:sz w:val="22"/>
          <w:szCs w:val="22"/>
        </w:rPr>
        <w:t xml:space="preserve"> </w:t>
      </w:r>
    </w:p>
    <w:p w14:paraId="02C7FC4F" w14:textId="77777777" w:rsidR="0010244F" w:rsidRDefault="0010244F">
      <w:pPr>
        <w:jc w:val="both"/>
        <w:rPr>
          <w:rFonts w:ascii="Lato" w:eastAsia="Lato" w:hAnsi="Lato" w:cs="Lato"/>
          <w:sz w:val="22"/>
          <w:szCs w:val="22"/>
        </w:rPr>
      </w:pPr>
    </w:p>
    <w:p w14:paraId="4D271619" w14:textId="77777777" w:rsidR="00D94FAA" w:rsidRDefault="00BE3A18">
      <w:pPr>
        <w:jc w:val="both"/>
        <w:rPr>
          <w:rFonts w:ascii="Lato" w:eastAsia="Lato" w:hAnsi="Lato" w:cs="Lato"/>
          <w:sz w:val="22"/>
          <w:szCs w:val="22"/>
        </w:rPr>
      </w:pPr>
      <w:bookmarkStart w:id="14" w:name="_heading=h.ee33gek1rz7q" w:colFirst="0" w:colLast="0"/>
      <w:bookmarkEnd w:id="14"/>
      <w:r>
        <w:rPr>
          <w:rFonts w:ascii="Lato" w:eastAsia="Lato" w:hAnsi="Lato" w:cs="Lato"/>
          <w:sz w:val="22"/>
          <w:szCs w:val="22"/>
        </w:rPr>
        <w:t>Ante esta situación,</w:t>
      </w:r>
      <w:r>
        <w:rPr>
          <w:rFonts w:ascii="Lato" w:eastAsia="Lato" w:hAnsi="Lato" w:cs="Lato"/>
          <w:b/>
          <w:sz w:val="22"/>
          <w:szCs w:val="22"/>
        </w:rPr>
        <w:t xml:space="preserve"> las distintas sociedades firmantes del manifiesto piden</w:t>
      </w:r>
      <w:r>
        <w:rPr>
          <w:rFonts w:ascii="Lato" w:eastAsia="Lato" w:hAnsi="Lato" w:cs="Lato"/>
          <w:sz w:val="22"/>
          <w:szCs w:val="22"/>
        </w:rPr>
        <w:t>: la inclusión por parte de las autoridades sanitarias en los planes de salud, tanto a nivel nacional como autonómicos; disponer de datos objetivos que sustenten la evidencia y permitan establecer indicadores asistenciales y de calidad, incluyendo la experiencia del paciente; planes de intervención basados en la Promoción de Salud, desde una perspectiva salutogénica, centrados en el origen de la enfermedad, con la persona como elemento principal, e implementar guías preventivas y de práctica clínica que aceleren el diagnóstico precoz y su tratamiento;</w:t>
      </w:r>
      <w:r>
        <w:rPr>
          <w:rFonts w:ascii="Lato" w:eastAsia="Lato" w:hAnsi="Lato" w:cs="Lato"/>
          <w:i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mejorar la educación sanitaria y empoderamiento de la población en obesidad y salud articular, así como potenciar el papel activo de las organizaciones de pacientes en el acompañamiento, conocimiento de los factores de riesgo, identificación, prevención y abordaje; así como practicar la personalización individual del tratamiento, desde un prisma holístico del paciente, facilitando el acceso a dichos recursos y su cobertura.</w:t>
      </w:r>
    </w:p>
    <w:p w14:paraId="6F87AE26" w14:textId="77777777" w:rsidR="00D94FAA" w:rsidRDefault="00D94FAA">
      <w:pPr>
        <w:jc w:val="both"/>
        <w:rPr>
          <w:rFonts w:ascii="Lato" w:eastAsia="Lato" w:hAnsi="Lato" w:cs="Lato"/>
          <w:i/>
          <w:sz w:val="22"/>
          <w:szCs w:val="22"/>
        </w:rPr>
      </w:pPr>
      <w:bookmarkStart w:id="15" w:name="_heading=h.6fhzqb9hwpno" w:colFirst="0" w:colLast="0"/>
      <w:bookmarkEnd w:id="15"/>
    </w:p>
    <w:p w14:paraId="4330DC51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  <w:bookmarkStart w:id="16" w:name="_heading=h.xa4b746r1aq0" w:colFirst="0" w:colLast="0"/>
      <w:bookmarkEnd w:id="16"/>
    </w:p>
    <w:p w14:paraId="4480FAA6" w14:textId="77777777" w:rsidR="00D94FAA" w:rsidRDefault="00D94FAA">
      <w:pPr>
        <w:jc w:val="both"/>
        <w:rPr>
          <w:rFonts w:ascii="Lato" w:eastAsia="Lato" w:hAnsi="Lato" w:cs="Lato"/>
          <w:sz w:val="22"/>
          <w:szCs w:val="22"/>
        </w:rPr>
      </w:pPr>
    </w:p>
    <w:p w14:paraId="231C8960" w14:textId="77777777" w:rsidR="00D94FAA" w:rsidRDefault="00BE3A18">
      <w:pPr>
        <w:jc w:val="both"/>
        <w:rPr>
          <w:rFonts w:ascii="Lato" w:eastAsia="Lato" w:hAnsi="Lato" w:cs="Lato"/>
          <w:b/>
          <w:color w:val="000000"/>
          <w:sz w:val="20"/>
          <w:szCs w:val="20"/>
          <w:u w:val="single"/>
        </w:rPr>
      </w:pPr>
      <w:r>
        <w:rPr>
          <w:rFonts w:ascii="Lato" w:eastAsia="Lato" w:hAnsi="Lato" w:cs="Lato"/>
          <w:b/>
          <w:color w:val="000000"/>
          <w:sz w:val="20"/>
          <w:szCs w:val="20"/>
          <w:u w:val="single"/>
        </w:rPr>
        <w:t xml:space="preserve">Sobre la Asociación Española de Cirujanos </w:t>
      </w:r>
    </w:p>
    <w:p w14:paraId="18CEDDE7" w14:textId="77777777" w:rsidR="00D94FAA" w:rsidRDefault="00BE3A18">
      <w:pPr>
        <w:widowControl w:val="0"/>
        <w:tabs>
          <w:tab w:val="left" w:pos="8647"/>
        </w:tabs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La </w:t>
      </w:r>
      <w:r>
        <w:rPr>
          <w:rFonts w:ascii="Lato" w:eastAsia="Lato" w:hAnsi="Lato" w:cs="Lato"/>
          <w:b/>
          <w:color w:val="000000"/>
          <w:sz w:val="20"/>
          <w:szCs w:val="20"/>
        </w:rPr>
        <w:t>AEC</w:t>
      </w:r>
      <w:r>
        <w:rPr>
          <w:rFonts w:ascii="Lato" w:eastAsia="Lato" w:hAnsi="Lato" w:cs="Lato"/>
          <w:color w:val="000000"/>
          <w:sz w:val="20"/>
          <w:szCs w:val="2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>
        <w:rPr>
          <w:rFonts w:ascii="Lato" w:eastAsia="Lato" w:hAnsi="Lato" w:cs="Lato"/>
          <w:sz w:val="20"/>
          <w:szCs w:val="20"/>
        </w:rPr>
        <w:t xml:space="preserve">más de </w:t>
      </w:r>
      <w:r>
        <w:rPr>
          <w:rFonts w:ascii="Lato" w:eastAsia="Lato" w:hAnsi="Lato" w:cs="Lato"/>
          <w:color w:val="000000"/>
          <w:sz w:val="20"/>
          <w:szCs w:val="20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14:paraId="532398F8" w14:textId="77777777" w:rsidR="00D94FAA" w:rsidRDefault="00000000">
      <w:pPr>
        <w:widowControl w:val="0"/>
        <w:tabs>
          <w:tab w:val="left" w:pos="8647"/>
        </w:tabs>
        <w:jc w:val="both"/>
        <w:rPr>
          <w:rFonts w:ascii="Lato" w:eastAsia="Lato" w:hAnsi="Lato" w:cs="Lato"/>
          <w:sz w:val="22"/>
          <w:szCs w:val="22"/>
        </w:rPr>
      </w:pPr>
      <w:hyperlink r:id="rId11">
        <w:r w:rsidR="00BE3A18">
          <w:rPr>
            <w:rFonts w:ascii="Lato" w:eastAsia="Lato" w:hAnsi="Lato" w:cs="Lato"/>
            <w:color w:val="0000FF"/>
            <w:sz w:val="20"/>
            <w:szCs w:val="20"/>
            <w:u w:val="single"/>
          </w:rPr>
          <w:t>www.aecirujanos.es</w:t>
        </w:r>
      </w:hyperlink>
    </w:p>
    <w:sectPr w:rsidR="00D94FAA">
      <w:headerReference w:type="default" r:id="rId12"/>
      <w:footerReference w:type="default" r:id="rId13"/>
      <w:pgSz w:w="11906" w:h="16838"/>
      <w:pgMar w:top="1417" w:right="1701" w:bottom="1417" w:left="1701" w:header="113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1E01" w14:textId="77777777" w:rsidR="00A24DC8" w:rsidRDefault="00A24DC8">
      <w:r>
        <w:separator/>
      </w:r>
    </w:p>
  </w:endnote>
  <w:endnote w:type="continuationSeparator" w:id="0">
    <w:p w14:paraId="0327570E" w14:textId="77777777" w:rsidR="00A24DC8" w:rsidRDefault="00A2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60E1" w14:textId="77777777" w:rsidR="00D94FAA" w:rsidRDefault="00D94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Lato" w:eastAsia="Lato" w:hAnsi="Lato" w:cs="Lato"/>
        <w:color w:val="000000"/>
        <w:sz w:val="20"/>
        <w:szCs w:val="20"/>
      </w:rPr>
    </w:pPr>
  </w:p>
  <w:p w14:paraId="795F74CC" w14:textId="77777777" w:rsidR="00D94FAA" w:rsidRDefault="00BE3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Lato" w:eastAsia="Lato" w:hAnsi="Lato" w:cs="Lato"/>
        <w:color w:val="000000"/>
        <w:sz w:val="20"/>
        <w:szCs w:val="20"/>
      </w:rPr>
    </w:pPr>
    <w:r>
      <w:rPr>
        <w:rFonts w:ascii="Lato" w:eastAsia="Lato" w:hAnsi="Lato" w:cs="Lato"/>
        <w:color w:val="000000"/>
        <w:sz w:val="20"/>
        <w:szCs w:val="20"/>
      </w:rPr>
      <w:t xml:space="preserve">Prensa: Actitud de Comunicación / </w:t>
    </w:r>
    <w:hyperlink r:id="rId1">
      <w:r>
        <w:rPr>
          <w:rFonts w:ascii="Lato" w:eastAsia="Lato" w:hAnsi="Lato" w:cs="Lato"/>
          <w:color w:val="0000FF"/>
          <w:sz w:val="20"/>
          <w:szCs w:val="20"/>
          <w:u w:val="single"/>
        </w:rPr>
        <w:t>aec@actitud.es</w:t>
      </w:r>
    </w:hyperlink>
    <w:r>
      <w:rPr>
        <w:rFonts w:ascii="Lato" w:eastAsia="Lato" w:hAnsi="Lato" w:cs="Lato"/>
        <w:color w:val="000000"/>
        <w:sz w:val="20"/>
        <w:szCs w:val="20"/>
      </w:rPr>
      <w:t xml:space="preserve"> / Tel. 91 302 28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D437" w14:textId="77777777" w:rsidR="00A24DC8" w:rsidRDefault="00A24DC8">
      <w:r>
        <w:separator/>
      </w:r>
    </w:p>
  </w:footnote>
  <w:footnote w:type="continuationSeparator" w:id="0">
    <w:p w14:paraId="54E5944E" w14:textId="77777777" w:rsidR="00A24DC8" w:rsidRDefault="00A2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9EC" w14:textId="77777777" w:rsidR="00D94FAA" w:rsidRDefault="00BE3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20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60966C14" wp14:editId="05BD2B4A">
          <wp:simplePos x="0" y="0"/>
          <wp:positionH relativeFrom="page">
            <wp:posOffset>5052060</wp:posOffset>
          </wp:positionH>
          <wp:positionV relativeFrom="page">
            <wp:posOffset>156845</wp:posOffset>
          </wp:positionV>
          <wp:extent cx="1831340" cy="7429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E24"/>
    <w:multiLevelType w:val="multilevel"/>
    <w:tmpl w:val="2AD6D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141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AA"/>
    <w:rsid w:val="0010244F"/>
    <w:rsid w:val="007B7D7C"/>
    <w:rsid w:val="008E1DD8"/>
    <w:rsid w:val="00A24DC8"/>
    <w:rsid w:val="00AA5EED"/>
    <w:rsid w:val="00BE3A18"/>
    <w:rsid w:val="00D31124"/>
    <w:rsid w:val="00D94FAA"/>
    <w:rsid w:val="00DC21D5"/>
    <w:rsid w:val="00E92759"/>
    <w:rsid w:val="00E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7DB6"/>
  <w15:docId w15:val="{1A7B0334-034D-4AD6-A82B-A211ADFC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F4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AF4"/>
  </w:style>
  <w:style w:type="paragraph" w:styleId="Piedepgina">
    <w:name w:val="footer"/>
    <w:basedOn w:val="Normal"/>
    <w:link w:val="Piedepgina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F4"/>
  </w:style>
  <w:style w:type="paragraph" w:styleId="Prrafodelista">
    <w:name w:val="List Paragraph"/>
    <w:basedOn w:val="Normal"/>
    <w:uiPriority w:val="34"/>
    <w:qFormat/>
    <w:rsid w:val="004E6AF4"/>
    <w:pPr>
      <w:ind w:left="720"/>
      <w:contextualSpacing/>
    </w:pPr>
  </w:style>
  <w:style w:type="character" w:styleId="Hipervnculo">
    <w:name w:val="Hyperlink"/>
    <w:uiPriority w:val="99"/>
    <w:unhideWhenUsed/>
    <w:rsid w:val="004E6A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50C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7A3766"/>
    <w:rPr>
      <w:rFonts w:eastAsiaTheme="minorHAns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A3766"/>
    <w:rPr>
      <w:rFonts w:ascii="Calibri" w:hAnsi="Calibri"/>
      <w:szCs w:val="21"/>
    </w:rPr>
  </w:style>
  <w:style w:type="paragraph" w:styleId="Sinespaciado">
    <w:name w:val="No Spacing"/>
    <w:qFormat/>
    <w:rsid w:val="00E11657"/>
    <w:rPr>
      <w:rFonts w:ascii="Cambria" w:eastAsia="Cambria" w:hAnsi="Cambria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63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35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35DA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5DA"/>
    <w:rPr>
      <w:rFonts w:eastAsiaTheme="minorEastAsia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DA"/>
    <w:rPr>
      <w:rFonts w:ascii="Segoe UI" w:eastAsiaTheme="minorEastAsia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8F50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cirujanos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ecirujanos.es/Manifiesto-en-favor-de-la-Salud-Osteoarticular-y-de-combatir-la-Obesidad_es_1_27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irujanos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2fkCE/rId8ELJJJ2f3eHstuioA==">AMUW2mWxxer5TwIDpHx/IAnfUZa+y1UaSfBw4mbXK4+hFMOdYmh9oenfpAjLn9yKcKhlEtKc+HmvkzIntVdVJFtbFQk4UYHSzA8oy8DCT7sZ9avRTZFb4LTrje1VkWDmIyNkehB2jwIrQTPjygLQHKN7PXy+cGfafta2RpNDrL92JEnWctMaA8R5tMsGqDJ9aesaXjhaUK+Cub4iZxVtL7qFeoZAhb6ptQe3V1qz3PbdZORV9idMkS/bDK4elPWx10Qyb+aom11IQaagMUhfBFXqnsgNqsGYxr/FEqMW4k748ebCh+Vov9RxuMP+or5D3Ven9xfGie0Fo5kP0N9w92xPdXZp6BXGpQgCYM3eAhm/AwcXZ+WRc3Tb2oDpl5TMDNgqIhoVA/aG0BcMwklSBiW5VX6MOctlituqObcenF4glUAbLGZoW4W/GVSWq71JzhYGUZkNIMBsiJ/UfA9dT2qROMlQFrCa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actitud4</dc:creator>
  <cp:lastModifiedBy>Usuario</cp:lastModifiedBy>
  <cp:revision>2</cp:revision>
  <cp:lastPrinted>2023-03-18T13:42:00Z</cp:lastPrinted>
  <dcterms:created xsi:type="dcterms:W3CDTF">2023-03-21T09:10:00Z</dcterms:created>
  <dcterms:modified xsi:type="dcterms:W3CDTF">2023-03-21T09:10:00Z</dcterms:modified>
</cp:coreProperties>
</file>