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sz w:val="44"/>
          <w:szCs w:val="44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Steelter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revela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center"/>
        <w:rPr>
          <w:rFonts w:ascii="Calibri" w:cs="Calibri" w:eastAsia="Calibri" w:hAnsi="Calibri"/>
          <w:b w:val="1"/>
          <w:sz w:val="44"/>
          <w:szCs w:val="44"/>
        </w:rPr>
      </w:pPr>
      <w:r w:rsidDel="00000000" w:rsidR="00000000" w:rsidRPr="00000000">
        <w:rPr>
          <w:rFonts w:ascii="Calibri" w:cs="Calibri" w:eastAsia="Calibri" w:hAnsi="Calibri"/>
          <w:b w:val="1"/>
          <w:sz w:val="44"/>
          <w:szCs w:val="44"/>
          <w:rtl w:val="0"/>
        </w:rPr>
        <w:t xml:space="preserve">La salud mental dispara las bajas laborales: las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44"/>
          <w:szCs w:val="44"/>
          <w:rtl w:val="0"/>
        </w:rPr>
        <w:t xml:space="preserve">soft skills</w:t>
      </w:r>
      <w:r w:rsidDel="00000000" w:rsidR="00000000" w:rsidRPr="00000000">
        <w:rPr>
          <w:rFonts w:ascii="Calibri" w:cs="Calibri" w:eastAsia="Calibri" w:hAnsi="Calibri"/>
          <w:b w:val="1"/>
          <w:sz w:val="44"/>
          <w:szCs w:val="44"/>
          <w:rtl w:val="0"/>
        </w:rPr>
        <w:t xml:space="preserve"> que pueden frenar la segunda causa de absentismo en España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El 55% de los trabajadores en España asegura tener problemas de salud mental en el trabajo, que ya se ha convertido en la segunda causa de incapacidad temporal y absentismo laboral, con un aumento del 88% en los días de baja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200" w:lineRule="auto"/>
        <w:ind w:left="720" w:hanging="36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La comunicación, inteligencia emocional, adaptabilidad y propósito son las habilidades humanas que las empresas deben cultivar para proteger su talento</w:t>
      </w:r>
    </w:p>
    <w:p w:rsidR="00000000" w:rsidDel="00000000" w:rsidP="00000000" w:rsidRDefault="00000000" w:rsidRPr="00000000" w14:paraId="00000005">
      <w:pPr>
        <w:spacing w:after="200" w:lineRule="auto"/>
        <w:ind w:lef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Barcelona, 3 de octubre de 2025.-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El agotamiento emocional, la desmotivación y el síndrome de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burnout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no son solo retos individuales que deben afrontar los trabajadores, son amenazas crecientes para la productividad, el clima organizacional y la retención del talento en las empresas. En este contexto,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las </w:t>
      </w: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soft skills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se perfilan como herramientas esenciales, no complementarias, para sostener la salud mental en el trabajo.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Desde </w:t>
      </w:r>
      <w:hyperlink r:id="rId7">
        <w:r w:rsidDel="00000000" w:rsidR="00000000" w:rsidRPr="00000000">
          <w:rPr>
            <w:rFonts w:ascii="Calibri" w:cs="Calibri" w:eastAsia="Calibri" w:hAnsi="Calibri"/>
            <w:b w:val="1"/>
            <w:color w:val="1155cc"/>
            <w:u w:val="single"/>
            <w:rtl w:val="0"/>
          </w:rPr>
          <w:t xml:space="preserve">Steelter</w:t>
        </w:r>
      </w:hyperlink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la plataforma SaaS que transforma el talento en una ventaja competitiva,  detectan cuáles son estas competencias y cómo las empresas pueden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fomentarlas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para garantizar entornos más saludables y resistentes.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El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burnout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ya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está reconocido por la OMS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como una enfermedad de salud mental en el trabajo que afecta a un número creciente de empleados en múltiples sectores. La falta de apoyo social, las expectativas poco realistas y la desconexión con el objetivo contribuyen al desgaste mental que un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55% de la población española asegura tener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y que ya se posiciona como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la segunda causa de incapacidad temporal y de absentismo laboral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Pero no basta con “reducir horas” o “gestionar estrés”;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muchas de las causas tienen raíz en la forma en que se relacionan equipos, líderes y cultura organizacional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Las habilidades blandas -o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soft skills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- ofrecen un enfoque preventivo, fortaleciendo la  resiliencia emocional, la comunicación, la adaptación y la conexión interpersonal.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Según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Steelter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competencias como la regulación emocional, la comunicación asertiva, la flexibilidad cognitiva y la capacidad de pedir ayuda contribuyen a gestionar mejor el estrés y evitar el agotamiento profesional por parte de los empleados.</w:t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>
          <w:rFonts w:ascii="Calibri" w:cs="Calibri" w:eastAsia="Calibri" w:hAnsi="Calibri"/>
          <w:color w:val="1155cc"/>
          <w:u w:val="singl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Asimismo, se destacan cinco competencias clave que las grandes organizaciones priorizan: pensamiento crítico, curiosidad, adaptabilidad, inteligencia emocional y compromiso con el propósito organizacional.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Cada una de estas habilidades puede actuar como protección ante un empeoramiento de la salud mental de los trabajadores: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after="200" w:before="240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Regulación emocional / inteligencia emocional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 reconocer y manejar las propias emociones, así como comprender las de otros, permite responder mejor ante tensión, conflictos o frustraciones.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after="200" w:before="0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Comunicación asertiva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 expresar necesidades, límites y expectativas de forma clara y respetuosa evita malentendidos, resentimientos acumulativos y sobrecargas ocultas.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pacing w:after="200" w:before="0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Adaptabilidad y flexibilidad cognitiva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 el entorno laboral es volátil; quienes pueden cambiar de estrategia, replantear procesos o asumir roles nuevos con agilidad están menos expuestos a sentirse “atrapados”.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pacing w:after="200" w:before="0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Curiosidad y pensamiento crítico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 cuestionar el status quo, buscar mejoras y explorar soluciones brinda autonomía al trabajador, lo que reduce la sensación de impotencia frente a la rutina.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pacing w:after="200" w:before="240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Propósito compartido / compromiso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 cuando los objetivos individuales se alinean con los valores de la organización, el trabajo deja de percibirse como una obligación o como una mera transacción; esto puede actuar como amortiguador frente al desgaste anímico.</w:t>
      </w:r>
    </w:p>
    <w:p w:rsidR="00000000" w:rsidDel="00000000" w:rsidP="00000000" w:rsidRDefault="00000000" w:rsidRPr="00000000" w14:paraId="00000011">
      <w:pPr>
        <w:pStyle w:val="Heading3"/>
        <w:keepNext w:val="0"/>
        <w:keepLines w:val="0"/>
        <w:spacing w:before="280" w:lineRule="auto"/>
        <w:jc w:val="both"/>
        <w:rPr>
          <w:rFonts w:ascii="Calibri" w:cs="Calibri" w:eastAsia="Calibri" w:hAnsi="Calibri"/>
          <w:b w:val="1"/>
          <w:color w:val="000000"/>
          <w:sz w:val="24"/>
          <w:szCs w:val="24"/>
        </w:rPr>
      </w:pPr>
      <w:bookmarkStart w:colFirst="0" w:colLast="0" w:name="_heading=h.aic5r2nmiyfc" w:id="0"/>
      <w:bookmarkEnd w:id="0"/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¿Cómo cultivar estas competencias en la empresa?</w:t>
      </w:r>
    </w:p>
    <w:p w:rsidR="00000000" w:rsidDel="00000000" w:rsidP="00000000" w:rsidRDefault="00000000" w:rsidRPr="00000000" w14:paraId="00000012">
      <w:pPr>
        <w:spacing w:after="240"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Para que no quede en discursos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aspiracionales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Steelter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considera clave impulsar distintas acciones desde las compañías: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200" w:before="240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Diagnóstico inicial participativo: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realizar encuestas, focus groups o talleres para identificar cuáles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soft skills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están poco desarrolladas o fallan en el equipo.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200" w:before="0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Formación integrada y experiencial: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incorporar ejercicios prácticos, simulaciones, dinámicas de equipo, proyectos reales que exijan usar esas competencias.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200" w:before="0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Mentoring / coaching cruzado: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emparejar personas con fortalezas distintas, para que se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retroalimenten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mutuamente en sus habilidades blandas.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200" w:before="0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Visión y propósito visible: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comunicar y mostrar cómo las decisiones, proyectos e iniciativas de la empresa están alineadas con valores compartidos, vinculando la misión empresarial en el día a día de los trabajadores.</w:t>
      </w:r>
    </w:p>
    <w:p w:rsidR="00000000" w:rsidDel="00000000" w:rsidP="00000000" w:rsidRDefault="00000000" w:rsidRPr="00000000" w14:paraId="00000017">
      <w:pPr>
        <w:spacing w:after="200" w:before="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Mediante tecnología innovadora basada en algoritmos y datos,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Steelter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ayuda a las empresas a identificar, medir y potenciar las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soft skills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de sus equipos, convirtiendo el talento en una verdadera ventaja competitiva. José Luis Marcó, fundador y presidente no ejecutivo de la compañía asegura que “al invertir en el desarrollo de estas habilidades blandas, las organizaciones no solo protegen a su gente, sino que también aseguran su sostenibilidad y éxito en un mercado cada vez más dinámico”.</w:t>
      </w:r>
    </w:p>
    <w:p w:rsidR="00000000" w:rsidDel="00000000" w:rsidP="00000000" w:rsidRDefault="00000000" w:rsidRPr="00000000" w14:paraId="00000018">
      <w:pPr>
        <w:spacing w:after="240" w:before="240" w:lineRule="auto"/>
        <w:jc w:val="both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Sobre </w:t>
      </w: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Steelter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40" w:before="240" w:lineRule="auto"/>
        <w:jc w:val="both"/>
        <w:rPr>
          <w:rFonts w:ascii="Calibri" w:cs="Calibri" w:eastAsia="Calibri" w:hAnsi="Calibri"/>
        </w:rPr>
      </w:pPr>
      <w:hyperlink r:id="rId8">
        <w:r w:rsidDel="00000000" w:rsidR="00000000" w:rsidRPr="00000000">
          <w:rPr>
            <w:rFonts w:ascii="Calibri" w:cs="Calibri" w:eastAsia="Calibri" w:hAnsi="Calibri"/>
            <w:b w:val="1"/>
            <w:color w:val="1155cc"/>
            <w:u w:val="single"/>
            <w:rtl w:val="0"/>
          </w:rPr>
          <w:t xml:space="preserve">Steelter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 es una plataforma SaaS especializada en la gestión del talento que analiza hasta 26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soft skills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agrupadas en competencias, actitudes y valores. Esta compañía española nació con la misión de redefinir cómo se descubre, desarrolla y potencia el talento en las organizaciones, y se ha convertido en una pieza esencial para organizaciones que buscan alinear el talento de empleados con su cultura y valores. </w:t>
      </w:r>
    </w:p>
    <w:p w:rsidR="00000000" w:rsidDel="00000000" w:rsidP="00000000" w:rsidRDefault="00000000" w:rsidRPr="00000000" w14:paraId="0000001A">
      <w:pPr>
        <w:spacing w:after="240"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Steelter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fue reconocida con el “Best for the World Award” en la categoría Governance por la comunidad internacional B Corp, destacando su compromiso con las mejores prácticas de gobernanza.</w:t>
      </w:r>
    </w:p>
    <w:p w:rsidR="00000000" w:rsidDel="00000000" w:rsidP="00000000" w:rsidRDefault="00000000" w:rsidRPr="00000000" w14:paraId="0000001B">
      <w:pPr>
        <w:spacing w:after="240" w:befor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u w:val="single"/>
          <w:rtl w:val="0"/>
        </w:rPr>
        <w:t xml:space="preserve">Para más información: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rFonts w:ascii="Calibri" w:cs="Calibri" w:eastAsia="Calibri" w:hAnsi="Calibri"/>
          <w:b w:val="1"/>
          <w:color w:val="1155cc"/>
          <w:sz w:val="20"/>
          <w:szCs w:val="20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Mirella Palafox: </w:t>
      </w:r>
      <w:hyperlink r:id="rId9">
        <w:r w:rsidDel="00000000" w:rsidR="00000000" w:rsidRPr="00000000">
          <w:rPr>
            <w:rFonts w:ascii="Calibri" w:cs="Calibri" w:eastAsia="Calibri" w:hAnsi="Calibri"/>
            <w:b w:val="1"/>
            <w:color w:val="1155cc"/>
            <w:sz w:val="20"/>
            <w:szCs w:val="20"/>
            <w:u w:val="single"/>
            <w:rtl w:val="0"/>
          </w:rPr>
          <w:t xml:space="preserve">mirella.palafox@actitud.es</w:t>
        </w:r>
      </w:hyperlink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160" w:lineRule="auto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Actitud de Comunicación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: Tel.: 91 302 28 60</w:t>
      </w:r>
      <w:r w:rsidDel="00000000" w:rsidR="00000000" w:rsidRPr="00000000">
        <w:rPr>
          <w:rtl w:val="0"/>
        </w:rPr>
      </w:r>
    </w:p>
    <w:sectPr>
      <w:headerReference r:id="rId10" w:type="default"/>
      <w:headerReference r:id="rId11" w:type="first"/>
      <w:headerReference r:id="rId12" w:type="even"/>
      <w:footerReference r:id="rId13" w:type="default"/>
      <w:footerReference r:id="rId14" w:type="first"/>
      <w:footerReference r:id="rId15" w:type="even"/>
      <w:pgSz w:h="16838" w:w="11906" w:orient="portrait"/>
      <w:pgMar w:bottom="1700" w:top="1700" w:left="1598" w:right="159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4411088</wp:posOffset>
          </wp:positionH>
          <wp:positionV relativeFrom="paragraph">
            <wp:posOffset>-209546</wp:posOffset>
          </wp:positionV>
          <wp:extent cx="1723012" cy="519113"/>
          <wp:effectExtent b="0" l="0" r="0" t="0"/>
          <wp:wrapSquare wrapText="bothSides" distB="114300" distT="114300" distL="114300" distR="114300"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23012" cy="51911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  <w:shd w:fill="auto" w:val="clear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="276" w:lineRule="auto"/>
    </w:pPr>
    <w:rPr>
      <w:rFonts w:ascii="Arial" w:cs="Arial" w:eastAsia="Arial" w:hAnsi="Arial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="276" w:lineRule="auto"/>
    </w:pPr>
    <w:rPr>
      <w:rFonts w:ascii="Arial" w:cs="Arial" w:eastAsia="Arial" w:hAnsi="Arial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="276" w:lineRule="auto"/>
    </w:pPr>
    <w:rPr>
      <w:rFonts w:ascii="Arial" w:cs="Arial" w:eastAsia="Arial" w:hAnsi="Arial"/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Revision">
    <w:name w:val="Revision"/>
    <w:hidden w:val="1"/>
    <w:uiPriority w:val="99"/>
    <w:semiHidden w:val="1"/>
    <w:rsid w:val="00322E3D"/>
    <w:pPr>
      <w:spacing w:line="240" w:lineRule="auto"/>
    </w:p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322E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 w:val="1"/>
    <w:rsid w:val="00322E3D"/>
    <w:rPr>
      <w:rFonts w:ascii="Arial" w:cs="Arial" w:eastAsia="Arial" w:hAnsi="Arial"/>
      <w:sz w:val="20"/>
      <w:szCs w:val="20"/>
      <w:lang w:val="es"/>
    </w:rPr>
  </w:style>
  <w:style w:type="character" w:styleId="CommentTextChar" w:customStyle="1">
    <w:name w:val="Comment Text Char"/>
    <w:basedOn w:val="DefaultParagraphFont"/>
    <w:link w:val="CommentText"/>
    <w:uiPriority w:val="99"/>
    <w:rsid w:val="00322E3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322E3D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322E3D"/>
    <w:rPr>
      <w:b w:val="1"/>
      <w:bCs w:val="1"/>
      <w:sz w:val="20"/>
      <w:szCs w:val="20"/>
    </w:rPr>
  </w:style>
  <w:style w:type="paragraph" w:styleId="Header">
    <w:name w:val="header"/>
    <w:basedOn w:val="Normal"/>
    <w:link w:val="HeaderChar"/>
    <w:uiPriority w:val="99"/>
    <w:unhideWhenUsed w:val="1"/>
    <w:rsid w:val="00140AD5"/>
    <w:pPr>
      <w:tabs>
        <w:tab w:val="center" w:pos="4252"/>
        <w:tab w:val="right" w:pos="8504"/>
      </w:tabs>
    </w:pPr>
    <w:rPr>
      <w:rFonts w:ascii="Arial" w:cs="Arial" w:eastAsia="Arial" w:hAnsi="Arial"/>
      <w:sz w:val="22"/>
      <w:szCs w:val="22"/>
      <w:lang w:val="es"/>
    </w:rPr>
  </w:style>
  <w:style w:type="character" w:styleId="HeaderChar" w:customStyle="1">
    <w:name w:val="Header Char"/>
    <w:basedOn w:val="DefaultParagraphFont"/>
    <w:link w:val="Header"/>
    <w:uiPriority w:val="99"/>
    <w:rsid w:val="00140AD5"/>
  </w:style>
  <w:style w:type="paragraph" w:styleId="Footer">
    <w:name w:val="footer"/>
    <w:basedOn w:val="Normal"/>
    <w:link w:val="FooterChar"/>
    <w:uiPriority w:val="99"/>
    <w:unhideWhenUsed w:val="1"/>
    <w:rsid w:val="00140AD5"/>
    <w:pPr>
      <w:tabs>
        <w:tab w:val="center" w:pos="4252"/>
        <w:tab w:val="right" w:pos="8504"/>
      </w:tabs>
    </w:pPr>
    <w:rPr>
      <w:rFonts w:ascii="Arial" w:cs="Arial" w:eastAsia="Arial" w:hAnsi="Arial"/>
      <w:sz w:val="22"/>
      <w:szCs w:val="22"/>
      <w:lang w:val="es"/>
    </w:rPr>
  </w:style>
  <w:style w:type="character" w:styleId="FooterChar" w:customStyle="1">
    <w:name w:val="Footer Char"/>
    <w:basedOn w:val="DefaultParagraphFont"/>
    <w:link w:val="Footer"/>
    <w:uiPriority w:val="99"/>
    <w:rsid w:val="00140AD5"/>
  </w:style>
  <w:style w:type="paragraph" w:styleId="p1" w:customStyle="1">
    <w:name w:val="p1"/>
    <w:basedOn w:val="Normal"/>
    <w:rsid w:val="007A4340"/>
    <w:pPr>
      <w:spacing w:after="100" w:afterAutospacing="1" w:before="100" w:beforeAutospacing="1"/>
    </w:pPr>
  </w:style>
  <w:style w:type="paragraph" w:styleId="NormalWeb">
    <w:name w:val="Normal (Web)"/>
    <w:basedOn w:val="Normal"/>
    <w:uiPriority w:val="99"/>
    <w:semiHidden w:val="1"/>
    <w:unhideWhenUsed w:val="1"/>
    <w:rsid w:val="007A4340"/>
    <w:pPr>
      <w:spacing w:after="100" w:afterAutospacing="1" w:before="100" w:beforeAutospacing="1"/>
    </w:pPr>
  </w:style>
  <w:style w:type="paragraph" w:styleId="ListParagraph">
    <w:name w:val="List Paragraph"/>
    <w:basedOn w:val="Normal"/>
    <w:uiPriority w:val="34"/>
    <w:qFormat w:val="1"/>
    <w:rsid w:val="007A4340"/>
    <w:pPr>
      <w:ind w:left="720"/>
      <w:contextualSpacing w:val="1"/>
    </w:pPr>
  </w:style>
  <w:style w:type="paragraph" w:styleId="p2" w:customStyle="1">
    <w:name w:val="p2"/>
    <w:basedOn w:val="Normal"/>
    <w:rsid w:val="007A4340"/>
    <w:pPr>
      <w:spacing w:after="100" w:afterAutospacing="1" w:before="100" w:beforeAutospacing="1"/>
    </w:pPr>
  </w:style>
  <w:style w:type="character" w:styleId="s1" w:customStyle="1">
    <w:name w:val="s1"/>
    <w:basedOn w:val="DefaultParagraphFont"/>
    <w:rsid w:val="00692141"/>
  </w:style>
  <w:style w:type="paragraph" w:styleId="Subtitle">
    <w:name w:val="Subtitle"/>
    <w:basedOn w:val="Normal"/>
    <w:next w:val="Normal"/>
    <w:pPr>
      <w:keepNext w:val="1"/>
      <w:keepLines w:val="1"/>
      <w:spacing w:after="320" w:line="276" w:lineRule="auto"/>
    </w:pPr>
    <w:rPr>
      <w:rFonts w:ascii="Arial" w:cs="Arial" w:eastAsia="Arial" w:hAnsi="Arial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2.xml"/><Relationship Id="rId10" Type="http://schemas.openxmlformats.org/officeDocument/2006/relationships/header" Target="header1.xml"/><Relationship Id="rId13" Type="http://schemas.openxmlformats.org/officeDocument/2006/relationships/footer" Target="footer1.xml"/><Relationship Id="rId12" Type="http://schemas.openxmlformats.org/officeDocument/2006/relationships/header" Target="head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mirella.palafox@actitud.es" TargetMode="External"/><Relationship Id="rId15" Type="http://schemas.openxmlformats.org/officeDocument/2006/relationships/footer" Target="footer3.xml"/><Relationship Id="rId14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steelter.com/" TargetMode="External"/><Relationship Id="rId8" Type="http://schemas.openxmlformats.org/officeDocument/2006/relationships/hyperlink" Target="http://www.steelte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/Uu6xw6FPSjSRj1OMyzFYVdbSg==">CgMxLjAyDmguYWljNXIybm1peWZjOABqJwoUc3VnZ2VzdC5sNjRnYWVqeDc3NngSD01hbMO6IEFyYWdvbsOpc2omChNzdWdnZXN0LmR6bHRvdnQ2N3EzEg9NYWzDuiBBcmFnb27DqXNqJwoUc3VnZ2VzdC5rNGZ3MjdiYWthcWQSD01hbMO6IEFyYWdvbsOpc3IhMWxxSVhFLU5XUVFxNE84dEJweDF4Y3JIZzhRYXZzVTJZ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2025-06-26T16:06:00Z</dcterms:created>
  <dc:creator>Jose Carlos Martinez Sabater</dc:creator>
</cp:coreProperties>
</file>