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left="-283" w:right="-654" w:firstLine="0"/>
        <w:jc w:val="left"/>
        <w:rPr>
          <w:rFonts w:ascii="Roboto" w:cs="Roboto" w:eastAsia="Roboto" w:hAnsi="Roboto"/>
          <w:b w:val="1"/>
          <w:bCs w:val="1"/>
          <w:sz w:val="32"/>
          <w:szCs w:val="3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Siete hospitales de España ya tienen esta acreditación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left="-283" w:right="-654" w:firstLine="0"/>
        <w:jc w:val="center"/>
        <w:rPr>
          <w:rFonts w:ascii="Roboto" w:cs="Roboto" w:eastAsia="Roboto" w:hAnsi="Roboto"/>
          <w:b w:val="1"/>
          <w:bCs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rtl w:val="0"/>
        </w:rPr>
        <w:t xml:space="preserve">Las Unidades de Cirugía Endocrina de los hospitales universitarios Virgen Macarena y Nuestra Señora de Valme, ambos de Sevilla, reciben la acreditación de la Asociación Española de Cirugía</w:t>
      </w:r>
    </w:p>
    <w:p w:rsidR="00000000" w:rsidDel="00000000" w:rsidP="00000000" w:rsidRDefault="00000000" w:rsidRPr="00000000" w14:paraId="00000003">
      <w:pPr>
        <w:spacing w:after="240" w:line="240" w:lineRule="auto"/>
        <w:ind w:right="-654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● Esta acreditación reconoce la excelencia asistencial de ambas unidades, así como su compromiso con la calidad clínica, la formación especializada y la mejora continua en la atención al paciente</w:t>
      </w:r>
    </w:p>
    <w:p w:rsidR="00000000" w:rsidDel="00000000" w:rsidP="00000000" w:rsidRDefault="00000000" w:rsidRPr="00000000" w14:paraId="00000004">
      <w:pPr>
        <w:spacing w:after="240" w:line="240" w:lineRule="auto"/>
        <w:ind w:right="-654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● El programa de acreditación de la Asociación Española de Cirugía evalúa la actividad asistencial, docente e investigadora de las unidades, garantizando estándares homogéneos de calidad y seguridad</w:t>
      </w:r>
    </w:p>
    <w:p w:rsidR="00000000" w:rsidDel="00000000" w:rsidP="00000000" w:rsidRDefault="00000000" w:rsidRPr="00000000" w14:paraId="00000005">
      <w:pPr>
        <w:spacing w:after="240" w:line="240" w:lineRule="auto"/>
        <w:ind w:right="-654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● Ya son siete los hospitales que cuentan con esta acreditación: el Hospital Universitario de Navarra, el Hospital Universitario 12 de Octubre, el Hospital Universitario de Cruces, el Hospital Universitario Infanta Sofía, el Hospital Universitario de Salamanca, el Hospital Universitario Virgen Macarena y el Hospital Universitario Nuestra Señora de Valme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283" w:right="-654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283" w:right="-654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Madrid, 30 de junio de 2026.-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Las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Unidades de Cirugía Endocrina</w:t>
      </w:r>
      <w:r w:rsidDel="00000000" w:rsidR="00000000" w:rsidRPr="00000000">
        <w:rPr>
          <w:sz w:val="22"/>
          <w:szCs w:val="22"/>
          <w:rtl w:val="0"/>
        </w:rPr>
        <w:t xml:space="preserve"> del</w:t>
      </w:r>
      <w:hyperlink r:id="rId7">
        <w:r w:rsidDel="00000000" w:rsidR="00000000" w:rsidRPr="00000000">
          <w:rPr>
            <w:b w:val="1"/>
            <w:bCs w:val="1"/>
            <w:color w:val="1155cc"/>
            <w:sz w:val="22"/>
            <w:szCs w:val="22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Hospital Universitario Virgen Macarena</w:t>
        </w:r>
      </w:hyperlink>
      <w:r w:rsidDel="00000000" w:rsidR="00000000" w:rsidRPr="00000000">
        <w:rPr>
          <w:sz w:val="22"/>
          <w:szCs w:val="22"/>
          <w:rtl w:val="0"/>
        </w:rPr>
        <w:t xml:space="preserve"> y del </w:t>
      </w:r>
      <w:hyperlink r:id="rId9">
        <w:r w:rsidDel="00000000" w:rsidR="00000000" w:rsidRPr="00000000">
          <w:rPr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Hospital Universitario Nuestra Señora de Valme</w:t>
        </w:r>
      </w:hyperlink>
      <w:r w:rsidDel="00000000" w:rsidR="00000000" w:rsidRPr="00000000">
        <w:rPr>
          <w:sz w:val="22"/>
          <w:szCs w:val="22"/>
          <w:rtl w:val="0"/>
        </w:rPr>
        <w:t xml:space="preserve">, ambos de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Sevilla</w:t>
      </w:r>
      <w:r w:rsidDel="00000000" w:rsidR="00000000" w:rsidRPr="00000000">
        <w:rPr>
          <w:sz w:val="22"/>
          <w:szCs w:val="22"/>
          <w:rtl w:val="0"/>
        </w:rPr>
        <w:t xml:space="preserve">, han recibido la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acreditación </w:t>
      </w:r>
      <w:r w:rsidDel="00000000" w:rsidR="00000000" w:rsidRPr="00000000">
        <w:rPr>
          <w:sz w:val="22"/>
          <w:szCs w:val="22"/>
          <w:rtl w:val="0"/>
        </w:rPr>
        <w:t xml:space="preserve">de la </w:t>
      </w:r>
      <w:hyperlink r:id="rId10">
        <w:r w:rsidDel="00000000" w:rsidR="00000000" w:rsidRPr="00000000">
          <w:rPr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Asociación Española de Cirugía (AEC)</w:t>
        </w:r>
      </w:hyperlink>
      <w:r w:rsidDel="00000000" w:rsidR="00000000" w:rsidRPr="00000000">
        <w:rPr>
          <w:sz w:val="22"/>
          <w:szCs w:val="22"/>
          <w:rtl w:val="0"/>
        </w:rPr>
        <w:t xml:space="preserve">, un reconocimiento que certifica la calidad asistencial y el alto nivel de especialización de estas unidades.</w:t>
      </w:r>
    </w:p>
    <w:p w:rsidR="00000000" w:rsidDel="00000000" w:rsidP="00000000" w:rsidRDefault="00000000" w:rsidRPr="00000000" w14:paraId="00000008">
      <w:pPr>
        <w:ind w:left="-283" w:right="-654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3333750</wp:posOffset>
            </wp:positionH>
            <wp:positionV relativeFrom="paragraph">
              <wp:posOffset>200025</wp:posOffset>
            </wp:positionV>
            <wp:extent cx="1876108" cy="2116634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6108" cy="21166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ind w:left="-283" w:right="-654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2676208" cy="2106636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208" cy="21066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left="-283" w:right="-65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Hospital Universitario Virgen Macarena (izquierda) y Hospital Universitario Nuestra Señora de Valme (derecha)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left="-283" w:right="-654" w:firstLine="0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Con estas incorporaciones,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continúa creciendo la red de hospitales acreditados por la AEC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en el ámbito de la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cirugía endocrina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. Este reconocimiento distingue a aquellos centros que cumplen con los estándares de excelencia establecidos por la sociedad científica en materia asistencial, docente e investigadora.</w:t>
      </w:r>
    </w:p>
    <w:p w:rsidR="00000000" w:rsidDel="00000000" w:rsidP="00000000" w:rsidRDefault="00000000" w:rsidRPr="00000000" w14:paraId="0000000C">
      <w:pPr>
        <w:spacing w:after="240" w:before="240" w:lineRule="auto"/>
        <w:ind w:left="-283" w:right="-654" w:firstLine="0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El proceso de acreditación desarrollado por la Asociación Española de Cirugía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evalúa de forma exhaustiva diferentes indicadores relacionados con la actividad clínica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, la organización de las unidades, la formación continuada de los profesionales y la actividad científica e investigadora. Asimismo, contempla la revisión de protocolos asistenciales y la capacidad de las unidades para ofrecer una atención especializada basada en la evidencia científica.</w:t>
      </w:r>
    </w:p>
    <w:p w:rsidR="00000000" w:rsidDel="00000000" w:rsidP="00000000" w:rsidRDefault="00000000" w:rsidRPr="00000000" w14:paraId="0000000D">
      <w:pPr>
        <w:spacing w:after="240" w:before="240" w:lineRule="auto"/>
        <w:ind w:left="-283" w:right="-654" w:firstLine="0"/>
        <w:rPr>
          <w:sz w:val="22"/>
          <w:szCs w:val="22"/>
          <w:highlight w:val="white"/>
        </w:rPr>
      </w:pPr>
      <w:r w:rsidDel="00000000" w:rsidR="00000000" w:rsidRPr="00000000">
        <w:rPr>
          <w:i w:val="1"/>
          <w:iCs w:val="1"/>
          <w:sz w:val="22"/>
          <w:szCs w:val="22"/>
          <w:highlight w:val="white"/>
          <w:rtl w:val="0"/>
        </w:rPr>
        <w:t xml:space="preserve">“La acreditación de unidades especializadas constituye una herramienta fundamental para garantizar una atención quirúrgica homogénea, segura y basada en estándares de calidad contrastados. Además, r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highlight w:val="white"/>
          <w:rtl w:val="0"/>
        </w:rPr>
        <w:t xml:space="preserve">econoce el esfuerzo continuado de los profesionales</w:t>
      </w:r>
      <w:r w:rsidDel="00000000" w:rsidR="00000000" w:rsidRPr="00000000">
        <w:rPr>
          <w:i w:val="1"/>
          <w:iCs w:val="1"/>
          <w:sz w:val="22"/>
          <w:szCs w:val="22"/>
          <w:highlight w:val="white"/>
          <w:rtl w:val="0"/>
        </w:rPr>
        <w:t xml:space="preserve"> implicados en la mejora de la asistencia y en la actualización permanente de conocimientos”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, señala la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Dra. Itziar Larrañaga, coordinadora de la Sección de Cirugía Endocrina de la Asociación Española de Cirugía.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-283" w:right="-654" w:firstLine="0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El programa de acreditación de la AEC tiene como objetivo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impulsar modelos asistenciales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basados en la excelencia clínica, la seguridad del paciente y el abordaje multidisciplinar, valorando tanto los resultados asistenciales como la capacidad de las unidades para desarrollar actividades docentes, investigadoras y de formación especializada. </w:t>
      </w:r>
    </w:p>
    <w:p w:rsidR="00000000" w:rsidDel="00000000" w:rsidP="00000000" w:rsidRDefault="00000000" w:rsidRPr="00000000" w14:paraId="0000000F">
      <w:pPr>
        <w:spacing w:after="240" w:before="240" w:lineRule="auto"/>
        <w:ind w:left="-283" w:right="-654" w:firstLine="0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En este sentido, la acreditación no solo certifica altos estándares de calidad clínica, sino que también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reconoce el compromiso de las unidades con la docencia y la investigación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, como ponen de relieve las distinciones obtenidas por el Hospital Universitario Virgen Macarena y el Hospital Universitario Nuestra Señora de Valme, ambos centros de referencia en Sevilla, que evidencian la implicación de sus profesionales en la formación de especialistas, la actualización continua de conocimientos y la mejora permanente de la práctica quirúrgica. </w:t>
      </w:r>
    </w:p>
    <w:p w:rsidR="00000000" w:rsidDel="00000000" w:rsidP="00000000" w:rsidRDefault="00000000" w:rsidRPr="00000000" w14:paraId="00000010">
      <w:pPr>
        <w:spacing w:after="240" w:before="240" w:lineRule="auto"/>
        <w:ind w:left="-283" w:right="-654" w:firstLine="0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La incorporación de nuevas unidades acreditadas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refuerza el papel de la Asociación Española de Cirugía como motor de mejora continua en el ámbito quirúrgico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, impulsando la creación de centros de referencia que sitúan al paciente en el centro de la atención sanitaria.</w:t>
      </w:r>
    </w:p>
    <w:p w:rsidR="00000000" w:rsidDel="00000000" w:rsidP="00000000" w:rsidRDefault="00000000" w:rsidRPr="00000000" w14:paraId="00000011">
      <w:pPr>
        <w:spacing w:after="240" w:before="240" w:lineRule="auto"/>
        <w:ind w:left="-283" w:right="-654" w:firstLine="0"/>
        <w:rPr>
          <w:sz w:val="22"/>
          <w:szCs w:val="22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Cirugía endocrina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ind w:left="-283" w:right="-654" w:firstLine="0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La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cirugía endocrina ha adquirido un protagonismo creciente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dentro de los servicios de cirugía general debido al aumento de la complejidad de las patologías endocrinas y al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desarrollo de técnicas quirúrgicas cada vez más precisas y menos invasivas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. La creación de unidades específicas permite ofrecer una atención más especializada, homogénea y coordinada, con impacto directo en la mejora de los resultados clínicos y en la seguridad del paciente.</w:t>
      </w:r>
    </w:p>
    <w:p w:rsidR="00000000" w:rsidDel="00000000" w:rsidP="00000000" w:rsidRDefault="00000000" w:rsidRPr="00000000" w14:paraId="00000013">
      <w:pPr>
        <w:spacing w:after="240" w:before="240" w:lineRule="auto"/>
        <w:ind w:left="-283" w:right="-654" w:firstLine="0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Estas unidades especializadas abordan patologías relacionadas con la glándula tiroides, las paratiroides, las glándulas suprarrenales y determinados tumores neuroendocrinos, lo que requiere equipos multidisciplinares altamente cualificados y una actualización constante de conocimientos y procedimientos.</w:t>
      </w:r>
    </w:p>
    <w:p w:rsidR="00000000" w:rsidDel="00000000" w:rsidP="00000000" w:rsidRDefault="00000000" w:rsidRPr="00000000" w14:paraId="00000014">
      <w:pPr>
        <w:spacing w:after="240" w:before="240" w:lineRule="auto"/>
        <w:ind w:left="-283" w:right="-654" w:firstLine="0"/>
        <w:rPr>
          <w:sz w:val="22"/>
          <w:szCs w:val="22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Impulso a las unidades acreditadas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ind w:left="-283" w:right="-654" w:firstLine="0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El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interés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creciente de los hospitales por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cumplir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con los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criterios de excelencia establecidos por la AEC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supone un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avance significativo para el sistema sanitario.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La acreditación de estas unidades no solo beneficia a los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pacientes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, sino que también refuerza el compromiso de los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profesionales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con una práctica quirúrgica segura, actualizada y basada en la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calidad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240" w:before="240" w:lineRule="auto"/>
        <w:ind w:left="-283" w:right="-654" w:firstLine="0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ind w:left="-283" w:right="-654" w:firstLine="0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En este escenario, se espera que el número de 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unidades acreditadas en cirugía endocrina continúe aumentando en los próximos años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, consolidando un modelo asistencial orientado a la excelencia clínica, la innovación y la mejora continua.</w:t>
      </w:r>
    </w:p>
    <w:p w:rsidR="00000000" w:rsidDel="00000000" w:rsidP="00000000" w:rsidRDefault="00000000" w:rsidRPr="00000000" w14:paraId="00000018">
      <w:pPr>
        <w:spacing w:after="200" w:line="360" w:lineRule="auto"/>
        <w:ind w:left="-283" w:right="-654" w:firstLine="0"/>
        <w:rPr>
          <w:rFonts w:ascii="Lato" w:cs="Lato" w:eastAsia="Lato" w:hAnsi="Lato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18"/>
          <w:szCs w:val="18"/>
          <w:u w:val="single"/>
          <w:rtl w:val="0"/>
        </w:rPr>
        <w:t xml:space="preserve">Sobre la Asociación Española de Cirugía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8647"/>
        </w:tabs>
        <w:spacing w:after="200" w:line="360" w:lineRule="auto"/>
        <w:ind w:left="-283" w:right="-654" w:firstLine="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La </w:t>
      </w:r>
      <w:r w:rsidDel="00000000" w:rsidR="00000000" w:rsidRPr="00000000">
        <w:rPr>
          <w:rFonts w:ascii="Lato" w:cs="Lato" w:eastAsia="Lato" w:hAnsi="Lato"/>
          <w:b w:val="1"/>
          <w:bCs w:val="1"/>
          <w:sz w:val="18"/>
          <w:szCs w:val="18"/>
          <w:rtl w:val="0"/>
        </w:rPr>
        <w:t xml:space="preserve">AEC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más de 5.000 socios y colabora con otras sociedades y entidades científicas, participando activamente en órganos como la Federación de Asociaciones Científico Médicas Españolas (FACME), European Union of Medical Specialists (UEMS) y la Comisión Nacional de la Especialidad.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8647"/>
        </w:tabs>
        <w:spacing w:after="200" w:line="360" w:lineRule="auto"/>
        <w:ind w:left="-283" w:right="-654" w:firstLine="0"/>
        <w:rPr/>
        <w:sectPr>
          <w:headerReference r:id="rId13" w:type="default"/>
          <w:headerReference r:id="rId14" w:type="first"/>
          <w:headerReference r:id="rId15" w:type="even"/>
          <w:footerReference r:id="rId16" w:type="default"/>
          <w:footerReference r:id="rId17" w:type="first"/>
          <w:footerReference r:id="rId18" w:type="even"/>
          <w:pgSz w:h="16838" w:w="11906" w:orient="portrait"/>
          <w:pgMar w:bottom="1700" w:top="1700" w:left="1598" w:right="1598" w:header="720" w:footer="720"/>
          <w:pgNumType w:start="1"/>
        </w:sectPr>
      </w:pPr>
      <w:hyperlink r:id="rId19">
        <w:r w:rsidDel="00000000" w:rsidR="00000000" w:rsidRPr="00000000">
          <w:rPr>
            <w:rFonts w:ascii="Lato" w:cs="Lato" w:eastAsia="Lato" w:hAnsi="Lato"/>
            <w:color w:val="0000ff"/>
            <w:sz w:val="18"/>
            <w:szCs w:val="18"/>
            <w:u w:val="single"/>
            <w:rtl w:val="0"/>
          </w:rPr>
          <w:t xml:space="preserve">www.aecirujanos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240" w:line="240" w:lineRule="auto"/>
        <w:ind w:left="-425.19685039370086" w:right="-654" w:firstLine="0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Contacto de comunicación</w:t>
      </w:r>
    </w:p>
    <w:p w:rsidR="00000000" w:rsidDel="00000000" w:rsidP="00000000" w:rsidRDefault="00000000" w:rsidRPr="00000000" w14:paraId="0000001C">
      <w:pPr>
        <w:ind w:left="-425.19685039370086" w:right="-654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Actitud de Comunicación</w:t>
      </w:r>
    </w:p>
    <w:p w:rsidR="00000000" w:rsidDel="00000000" w:rsidP="00000000" w:rsidRDefault="00000000" w:rsidRPr="00000000" w14:paraId="0000001D">
      <w:pPr>
        <w:ind w:left="-425.19685039370086" w:right="-654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Carlota Ramos</w:t>
      </w:r>
    </w:p>
    <w:p w:rsidR="00000000" w:rsidDel="00000000" w:rsidP="00000000" w:rsidRDefault="00000000" w:rsidRPr="00000000" w14:paraId="0000001E">
      <w:pPr>
        <w:ind w:left="-425.19685039370086" w:right="-654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Teléfono: 91 302 28 60</w:t>
      </w:r>
    </w:p>
    <w:p w:rsidR="00000000" w:rsidDel="00000000" w:rsidP="00000000" w:rsidRDefault="00000000" w:rsidRPr="00000000" w14:paraId="0000001F">
      <w:pPr>
        <w:ind w:left="-425.19685039370086" w:right="-654" w:firstLine="0"/>
        <w:rPr>
          <w:rFonts w:ascii="Lato" w:cs="Lato" w:eastAsia="Lato" w:hAnsi="Lato"/>
          <w:color w:val="0000ff"/>
          <w:sz w:val="18"/>
          <w:szCs w:val="18"/>
        </w:rPr>
        <w:sectPr>
          <w:type w:val="continuous"/>
          <w:pgSz w:h="16838" w:w="11906" w:orient="portrait"/>
          <w:pgMar w:bottom="568" w:top="1702" w:left="1701" w:right="1268" w:header="708" w:footer="708"/>
        </w:sectPr>
      </w:pPr>
      <w:r w:rsidDel="00000000" w:rsidR="00000000" w:rsidRPr="00000000">
        <w:rPr>
          <w:sz w:val="18"/>
          <w:szCs w:val="18"/>
          <w:rtl w:val="0"/>
        </w:rPr>
        <w:t xml:space="preserve">Email: </w:t>
      </w:r>
      <w:r w:rsidDel="00000000" w:rsidR="00000000" w:rsidRPr="00000000">
        <w:rPr>
          <w:color w:val="0000ff"/>
          <w:sz w:val="18"/>
          <w:szCs w:val="18"/>
          <w:rtl w:val="0"/>
        </w:rPr>
        <w:t xml:space="preserve">carlota.ramos@actitud.es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8647"/>
        </w:tabs>
        <w:spacing w:line="240" w:lineRule="auto"/>
        <w:ind w:left="-283" w:right="-654" w:firstLine="0"/>
        <w:rPr>
          <w:rFonts w:ascii="Lato" w:cs="Lato" w:eastAsia="Lato" w:hAnsi="Lato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8647"/>
        </w:tabs>
        <w:spacing w:line="240" w:lineRule="auto"/>
        <w:ind w:left="-283" w:right="-654" w:firstLine="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283" w:right="-654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283" w:right="-65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283" w:right="-65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283" w:right="-654" w:firstLine="0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700" w:top="1700" w:left="1598" w:right="1598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4476549</wp:posOffset>
          </wp:positionH>
          <wp:positionV relativeFrom="paragraph">
            <wp:posOffset>-200021</wp:posOffset>
          </wp:positionV>
          <wp:extent cx="1581351" cy="54768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4310" l="0" r="0" t="31034"/>
                  <a:stretch>
                    <a:fillRect/>
                  </a:stretch>
                </pic:blipFill>
                <pic:spPr>
                  <a:xfrm>
                    <a:off x="0" y="0"/>
                    <a:ext cx="1581351" cy="547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jpg"/><Relationship Id="rId10" Type="http://schemas.openxmlformats.org/officeDocument/2006/relationships/hyperlink" Target="https://www.aecirujanos.es/" TargetMode="External"/><Relationship Id="rId13" Type="http://schemas.openxmlformats.org/officeDocument/2006/relationships/header" Target="header2.xml"/><Relationship Id="rId12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spa.juntadeandalucia.es/servicioandaluzdesalud/el-sas/servicios-y-centros/informacion-por-centros/16490" TargetMode="External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19" Type="http://schemas.openxmlformats.org/officeDocument/2006/relationships/hyperlink" Target="http://www.aecirujanos.es" TargetMode="Externa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https://www.hospitalmacarena.es/" TargetMode="External"/><Relationship Id="rId8" Type="http://schemas.openxmlformats.org/officeDocument/2006/relationships/hyperlink" Target="https://www.hospitalmacarena.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h6pIRzIROfXB65xli45QP9hSig==">CgMxLjA4AHIhMWtwQmItTkQyeUExeWdfQnlFN0VxVmtHMG40VktWcld2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