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52.00000000000003" w:lineRule="auto"/>
        <w:rPr>
          <w:rFonts w:ascii="Calibri" w:cs="Calibri" w:eastAsia="Calibri" w:hAnsi="Calibri"/>
          <w:b w:val="1"/>
          <w:sz w:val="44"/>
          <w:szCs w:val="44"/>
        </w:rPr>
      </w:pPr>
      <w:r w:rsidDel="00000000" w:rsidR="00000000" w:rsidRPr="00000000">
        <w:rPr>
          <w:rFonts w:ascii="Calibri" w:cs="Calibri" w:eastAsia="Calibri" w:hAnsi="Calibri"/>
          <w:i w:val="1"/>
          <w:sz w:val="24"/>
          <w:szCs w:val="24"/>
          <w:rtl w:val="0"/>
        </w:rPr>
        <w:t xml:space="preserve">En un acto organizado por la Asociación Española de Ingenieros de Telecomunicación de Madrid,</w:t>
      </w:r>
      <w:r w:rsidDel="00000000" w:rsidR="00000000" w:rsidRPr="00000000">
        <w:rPr>
          <w:rtl w:val="0"/>
        </w:rPr>
      </w:r>
    </w:p>
    <w:p w:rsidR="00000000" w:rsidDel="00000000" w:rsidP="00000000" w:rsidRDefault="00000000" w:rsidRPr="00000000" w14:paraId="00000002">
      <w:pPr>
        <w:spacing w:line="252.00000000000003"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3">
      <w:pPr>
        <w:spacing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Los ingenieros de telecomunicación, pieza clave para garantizar la accesibilidad digital </w:t>
      </w:r>
    </w:p>
    <w:p w:rsidR="00000000" w:rsidDel="00000000" w:rsidP="00000000" w:rsidRDefault="00000000" w:rsidRPr="00000000" w14:paraId="00000004">
      <w:pPr>
        <w:spacing w:line="252.00000000000003"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spacing w:line="252.00000000000003" w:lineRule="auto"/>
        <w:ind w:left="720" w:firstLine="0"/>
        <w:jc w:val="both"/>
        <w:rPr>
          <w:rFonts w:ascii="Calibri" w:cs="Calibri" w:eastAsia="Calibri" w:hAnsi="Calibri"/>
          <w:sz w:val="8"/>
          <w:szCs w:val="8"/>
          <w:highlight w:val="yellow"/>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AEIT-Madrid analiza los retos y oportunidades tras la entrada en vigor de la Ley Europea de Accesibilidad</w:t>
      </w:r>
      <w:r w:rsidDel="00000000" w:rsidR="00000000" w:rsidRPr="00000000">
        <w:rPr>
          <w:rtl w:val="0"/>
        </w:rPr>
      </w:r>
    </w:p>
    <w:p w:rsidR="00000000" w:rsidDel="00000000" w:rsidP="00000000" w:rsidRDefault="00000000" w:rsidRPr="00000000" w14:paraId="00000007">
      <w:pPr>
        <w:spacing w:line="252.00000000000003"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52.00000000000003"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Miguel Ángel Valero, vicepresidente del grupo de trabajo de la Norma Europea de Accesibilidad EN 301549, y Fernando Machicado, s</w:t>
      </w:r>
      <w:r w:rsidDel="00000000" w:rsidR="00000000" w:rsidRPr="00000000">
        <w:rPr>
          <w:rFonts w:ascii="Calibri" w:cs="Calibri" w:eastAsia="Calibri" w:hAnsi="Calibri"/>
          <w:b w:val="1"/>
          <w:sz w:val="24"/>
          <w:szCs w:val="24"/>
          <w:rtl w:val="0"/>
        </w:rPr>
        <w:t xml:space="preserve">ecretario del CEN/CLC/ETSI/JTB eAccessibility y Coordinador de Organizaciones e Instituciones de UNE – Asociación Española de Normalización, </w:t>
      </w:r>
      <w:r w:rsidDel="00000000" w:rsidR="00000000" w:rsidRPr="00000000">
        <w:rPr>
          <w:rFonts w:ascii="Calibri" w:cs="Calibri" w:eastAsia="Calibri" w:hAnsi="Calibri"/>
          <w:b w:val="1"/>
          <w:sz w:val="24"/>
          <w:szCs w:val="24"/>
          <w:rtl w:val="0"/>
        </w:rPr>
        <w:t xml:space="preserve">han explicado el impacto de esta nueva ley</w:t>
      </w:r>
    </w:p>
    <w:p w:rsidR="00000000" w:rsidDel="00000000" w:rsidP="00000000" w:rsidRDefault="00000000" w:rsidRPr="00000000" w14:paraId="00000009">
      <w:pPr>
        <w:spacing w:line="252.00000000000003"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52.00000000000003"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52.00000000000003" w:lineRule="auto"/>
        <w:jc w:val="center"/>
        <w:rPr>
          <w:rFonts w:ascii="Calibri" w:cs="Calibri" w:eastAsia="Calibri" w:hAnsi="Calibri"/>
          <w:b w:val="1"/>
          <w:sz w:val="24"/>
          <w:szCs w:val="24"/>
        </w:rPr>
      </w:pPr>
      <w:bookmarkStart w:colFirst="0" w:colLast="0" w:name="_111djxlj47p0" w:id="0"/>
      <w:bookmarkEnd w:id="0"/>
      <w:r w:rsidDel="00000000" w:rsidR="00000000" w:rsidRPr="00000000">
        <w:rPr>
          <w:rFonts w:ascii="Calibri" w:cs="Calibri" w:eastAsia="Calibri" w:hAnsi="Calibri"/>
          <w:b w:val="1"/>
          <w:sz w:val="44"/>
          <w:szCs w:val="44"/>
        </w:rPr>
        <w:drawing>
          <wp:inline distB="114300" distT="114300" distL="114300" distR="114300">
            <wp:extent cx="3592350" cy="2824519"/>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592350" cy="2824519"/>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52.00000000000003" w:lineRule="auto"/>
        <w:jc w:val="both"/>
        <w:rPr>
          <w:rFonts w:ascii="Calibri" w:cs="Calibri" w:eastAsia="Calibri" w:hAnsi="Calibri"/>
          <w:b w:val="1"/>
          <w:sz w:val="24"/>
          <w:szCs w:val="24"/>
        </w:rPr>
      </w:pPr>
      <w:bookmarkStart w:colFirst="0" w:colLast="0" w:name="_kyz9azij0sw8" w:id="1"/>
      <w:bookmarkEnd w:id="1"/>
      <w:r w:rsidDel="00000000" w:rsidR="00000000" w:rsidRPr="00000000">
        <w:rPr>
          <w:rtl w:val="0"/>
        </w:rPr>
      </w:r>
    </w:p>
    <w:p w:rsidR="00000000" w:rsidDel="00000000" w:rsidP="00000000" w:rsidRDefault="00000000" w:rsidRPr="00000000" w14:paraId="0000000D">
      <w:pPr>
        <w:spacing w:line="252.00000000000003" w:lineRule="auto"/>
        <w:jc w:val="both"/>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b w:val="1"/>
          <w:sz w:val="24"/>
          <w:szCs w:val="24"/>
          <w:rtl w:val="0"/>
        </w:rPr>
        <w:t xml:space="preserve">Madrid, 3 de octubre de 2025</w:t>
      </w:r>
      <w:r w:rsidDel="00000000" w:rsidR="00000000" w:rsidRPr="00000000">
        <w:rPr>
          <w:rFonts w:ascii="DIN Pro" w:cs="DIN Pro" w:eastAsia="DIN Pro" w:hAnsi="DIN Pro"/>
          <w:sz w:val="24"/>
          <w:szCs w:val="24"/>
          <w:rtl w:val="0"/>
        </w:rPr>
        <w:t xml:space="preserve">.-</w:t>
      </w:r>
      <w:r w:rsidDel="00000000" w:rsidR="00000000" w:rsidRPr="00000000">
        <w:rPr>
          <w:rFonts w:ascii="Calibri" w:cs="Calibri" w:eastAsia="Calibri" w:hAnsi="Calibri"/>
          <w:sz w:val="24"/>
          <w:szCs w:val="24"/>
          <w:rtl w:val="0"/>
        </w:rPr>
        <w:t xml:space="preserve"> La </w:t>
      </w:r>
      <w:hyperlink r:id="rId7">
        <w:r w:rsidDel="00000000" w:rsidR="00000000" w:rsidRPr="00000000">
          <w:rPr>
            <w:rFonts w:ascii="Calibri" w:cs="Calibri" w:eastAsia="Calibri" w:hAnsi="Calibri"/>
            <w:b w:val="1"/>
            <w:color w:val="1155cc"/>
            <w:sz w:val="24"/>
            <w:szCs w:val="24"/>
            <w:u w:val="single"/>
            <w:rtl w:val="0"/>
          </w:rPr>
          <w:t xml:space="preserve">Asociación Española de Ingenieros de Telecomunicación-Madrid (AEIT-Madrid)</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celebró el pasado 1 de octubre una jornada de debate en torno al papel esencial de los ingenieros de telecomunicación en la construcción de una sociedad digital más inclusiva, coincidiendo con la entrada en vigor de la </w:t>
      </w:r>
      <w:r w:rsidDel="00000000" w:rsidR="00000000" w:rsidRPr="00000000">
        <w:rPr>
          <w:rFonts w:ascii="Calibri" w:cs="Calibri" w:eastAsia="Calibri" w:hAnsi="Calibri"/>
          <w:b w:val="1"/>
          <w:sz w:val="24"/>
          <w:szCs w:val="24"/>
          <w:rtl w:val="0"/>
        </w:rPr>
        <w:t xml:space="preserve">Ley Europea de Accesibilidad</w:t>
      </w:r>
      <w:r w:rsidDel="00000000" w:rsidR="00000000" w:rsidRPr="00000000">
        <w:rPr>
          <w:rFonts w:ascii="Calibri" w:cs="Calibri" w:eastAsia="Calibri" w:hAnsi="Calibri"/>
          <w:sz w:val="24"/>
          <w:szCs w:val="24"/>
          <w:rtl w:val="0"/>
        </w:rPr>
        <w:t xml:space="preserve">, en vigor desde junio de este año y que afecta a productos, servicios digitales y páginas web en toda la Unión Europea.</w:t>
      </w:r>
    </w:p>
    <w:p w:rsidR="00000000" w:rsidDel="00000000" w:rsidP="00000000" w:rsidRDefault="00000000" w:rsidRPr="00000000" w14:paraId="0000000E">
      <w:pPr>
        <w:spacing w:line="252.00000000000003" w:lineRule="auto"/>
        <w:jc w:val="both"/>
        <w:rPr>
          <w:rFonts w:ascii="Calibri" w:cs="Calibri" w:eastAsia="Calibri" w:hAnsi="Calibri"/>
          <w:sz w:val="24"/>
          <w:szCs w:val="24"/>
        </w:rPr>
      </w:pPr>
      <w:bookmarkStart w:colFirst="0" w:colLast="0" w:name="_3emloeir4fub" w:id="3"/>
      <w:bookmarkEnd w:id="3"/>
      <w:r w:rsidDel="00000000" w:rsidR="00000000" w:rsidRPr="00000000">
        <w:rPr>
          <w:rtl w:val="0"/>
        </w:rPr>
      </w:r>
    </w:p>
    <w:p w:rsidR="00000000" w:rsidDel="00000000" w:rsidP="00000000" w:rsidRDefault="00000000" w:rsidRPr="00000000" w14:paraId="0000000F">
      <w:pPr>
        <w:spacing w:line="252.00000000000003" w:lineRule="auto"/>
        <w:jc w:val="both"/>
        <w:rPr>
          <w:rFonts w:ascii="Calibri" w:cs="Calibri" w:eastAsia="Calibri" w:hAnsi="Calibri"/>
          <w:sz w:val="24"/>
          <w:szCs w:val="24"/>
        </w:rPr>
      </w:pPr>
      <w:bookmarkStart w:colFirst="0" w:colLast="0" w:name="_a7tct1u4c5jf" w:id="4"/>
      <w:bookmarkEnd w:id="4"/>
      <w:r w:rsidDel="00000000" w:rsidR="00000000" w:rsidRPr="00000000">
        <w:rPr>
          <w:rFonts w:ascii="Calibri" w:cs="Calibri" w:eastAsia="Calibri" w:hAnsi="Calibri"/>
          <w:sz w:val="24"/>
          <w:szCs w:val="24"/>
          <w:rtl w:val="0"/>
        </w:rPr>
        <w:t xml:space="preserve">El encuentro reunió a expertos de primer nivel como </w:t>
      </w:r>
      <w:r w:rsidDel="00000000" w:rsidR="00000000" w:rsidRPr="00000000">
        <w:rPr>
          <w:rFonts w:ascii="Calibri" w:cs="Calibri" w:eastAsia="Calibri" w:hAnsi="Calibri"/>
          <w:b w:val="1"/>
          <w:sz w:val="24"/>
          <w:szCs w:val="24"/>
          <w:rtl w:val="0"/>
        </w:rPr>
        <w:t xml:space="preserve">Miguel Ángel Valero</w:t>
      </w:r>
      <w:r w:rsidDel="00000000" w:rsidR="00000000" w:rsidRPr="00000000">
        <w:rPr>
          <w:rFonts w:ascii="Calibri" w:cs="Calibri" w:eastAsia="Calibri" w:hAnsi="Calibri"/>
          <w:sz w:val="24"/>
          <w:szCs w:val="24"/>
          <w:rtl w:val="0"/>
        </w:rPr>
        <w:t xml:space="preserve">, vicepresidente del grupo de trabajo de la Norma Europea de Accesibilidad TIC (EN 301549) e investigador en accesibilidad digital, y </w:t>
      </w:r>
      <w:r w:rsidDel="00000000" w:rsidR="00000000" w:rsidRPr="00000000">
        <w:rPr>
          <w:rFonts w:ascii="Calibri" w:cs="Calibri" w:eastAsia="Calibri" w:hAnsi="Calibri"/>
          <w:b w:val="1"/>
          <w:sz w:val="24"/>
          <w:szCs w:val="24"/>
          <w:rtl w:val="0"/>
        </w:rPr>
        <w:t xml:space="preserve">Fernando Machicado, s</w:t>
      </w:r>
      <w:r w:rsidDel="00000000" w:rsidR="00000000" w:rsidRPr="00000000">
        <w:rPr>
          <w:rFonts w:ascii="Calibri" w:cs="Calibri" w:eastAsia="Calibri" w:hAnsi="Calibri"/>
          <w:b w:val="1"/>
          <w:sz w:val="24"/>
          <w:szCs w:val="24"/>
          <w:rtl w:val="0"/>
        </w:rPr>
        <w:t xml:space="preserve">ecretario del CEN/CLC/ETSI/JTB eAccessibility y Coordinador de Organizaciones e Instituciones de UNE – Asociación Española de Normalización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spacing w:after="240" w:before="240" w:line="252.00000000000003" w:lineRule="auto"/>
        <w:jc w:val="both"/>
        <w:rPr>
          <w:rFonts w:ascii="Calibri" w:cs="Calibri" w:eastAsia="Calibri" w:hAnsi="Calibri"/>
          <w:i w:val="1"/>
          <w:sz w:val="24"/>
          <w:szCs w:val="24"/>
        </w:rPr>
      </w:pPr>
      <w:bookmarkStart w:colFirst="0" w:colLast="0" w:name="_tsxncls5tf4t" w:id="5"/>
      <w:bookmarkEnd w:id="5"/>
      <w:r w:rsidDel="00000000" w:rsidR="00000000" w:rsidRPr="00000000">
        <w:rPr>
          <w:rFonts w:ascii="Calibri" w:cs="Calibri" w:eastAsia="Calibri" w:hAnsi="Calibri"/>
          <w:sz w:val="24"/>
          <w:szCs w:val="24"/>
          <w:rtl w:val="0"/>
        </w:rPr>
        <w:t xml:space="preserve">Durante la jornada, </w:t>
      </w:r>
      <w:r w:rsidDel="00000000" w:rsidR="00000000" w:rsidRPr="00000000">
        <w:rPr>
          <w:rFonts w:ascii="Calibri" w:cs="Calibri" w:eastAsia="Calibri" w:hAnsi="Calibri"/>
          <w:b w:val="1"/>
          <w:sz w:val="24"/>
          <w:szCs w:val="24"/>
          <w:rtl w:val="0"/>
        </w:rPr>
        <w:t xml:space="preserve">Machicado</w:t>
      </w:r>
      <w:r w:rsidDel="00000000" w:rsidR="00000000" w:rsidRPr="00000000">
        <w:rPr>
          <w:rFonts w:ascii="Calibri" w:cs="Calibri" w:eastAsia="Calibri" w:hAnsi="Calibri"/>
          <w:sz w:val="24"/>
          <w:szCs w:val="24"/>
          <w:rtl w:val="0"/>
        </w:rPr>
        <w:t xml:space="preserve"> destacó que </w:t>
      </w:r>
      <w:r w:rsidDel="00000000" w:rsidR="00000000" w:rsidRPr="00000000">
        <w:rPr>
          <w:rFonts w:ascii="Calibri" w:cs="Calibri" w:eastAsia="Calibri" w:hAnsi="Calibri"/>
          <w:i w:val="1"/>
          <w:sz w:val="24"/>
          <w:szCs w:val="24"/>
          <w:rtl w:val="0"/>
        </w:rPr>
        <w:t xml:space="preserve">“la norma es tecnológicamente agnóstica, lo que permite su aplicación con diferentes tecnologías y fomenta la innovación”. </w:t>
      </w:r>
      <w:r w:rsidDel="00000000" w:rsidR="00000000" w:rsidRPr="00000000">
        <w:rPr>
          <w:rFonts w:ascii="Calibri" w:cs="Calibri" w:eastAsia="Calibri" w:hAnsi="Calibri"/>
          <w:sz w:val="24"/>
          <w:szCs w:val="24"/>
          <w:rtl w:val="0"/>
        </w:rPr>
        <w:t xml:space="preserve">Por su parte, </w:t>
      </w:r>
      <w:r w:rsidDel="00000000" w:rsidR="00000000" w:rsidRPr="00000000">
        <w:rPr>
          <w:rFonts w:ascii="Calibri" w:cs="Calibri" w:eastAsia="Calibri" w:hAnsi="Calibri"/>
          <w:b w:val="1"/>
          <w:sz w:val="24"/>
          <w:szCs w:val="24"/>
          <w:rtl w:val="0"/>
        </w:rPr>
        <w:t xml:space="preserve">M.A. Valero</w:t>
      </w:r>
      <w:r w:rsidDel="00000000" w:rsidR="00000000" w:rsidRPr="00000000">
        <w:rPr>
          <w:rFonts w:ascii="Calibri" w:cs="Calibri" w:eastAsia="Calibri" w:hAnsi="Calibri"/>
          <w:sz w:val="24"/>
          <w:szCs w:val="24"/>
          <w:rtl w:val="0"/>
        </w:rPr>
        <w:t xml:space="preserve"> subrayó la importancia de garantizar la accesibilidad digital: </w:t>
      </w:r>
      <w:r w:rsidDel="00000000" w:rsidR="00000000" w:rsidRPr="00000000">
        <w:rPr>
          <w:rFonts w:ascii="Calibri" w:cs="Calibri" w:eastAsia="Calibri" w:hAnsi="Calibri"/>
          <w:i w:val="1"/>
          <w:sz w:val="24"/>
          <w:szCs w:val="24"/>
          <w:rtl w:val="0"/>
        </w:rPr>
        <w:t xml:space="preserve">“lo que no hagamos accesible en lo digital supone dejar a millones de personas fuera”.</w:t>
      </w:r>
    </w:p>
    <w:p w:rsidR="00000000" w:rsidDel="00000000" w:rsidP="00000000" w:rsidRDefault="00000000" w:rsidRPr="00000000" w14:paraId="00000011">
      <w:pPr>
        <w:spacing w:after="240" w:before="240" w:line="252.00000000000003" w:lineRule="auto"/>
        <w:jc w:val="both"/>
        <w:rPr>
          <w:rFonts w:ascii="Calibri" w:cs="Calibri" w:eastAsia="Calibri" w:hAnsi="Calibri"/>
          <w:sz w:val="24"/>
          <w:szCs w:val="24"/>
        </w:rPr>
      </w:pPr>
      <w:bookmarkStart w:colFirst="0" w:colLast="0" w:name="_tsxncls5tf4t" w:id="5"/>
      <w:bookmarkEnd w:id="5"/>
      <w:r w:rsidDel="00000000" w:rsidR="00000000" w:rsidRPr="00000000">
        <w:rPr>
          <w:rFonts w:ascii="Calibri" w:cs="Calibri" w:eastAsia="Calibri" w:hAnsi="Calibri"/>
          <w:sz w:val="24"/>
          <w:szCs w:val="24"/>
          <w:rtl w:val="0"/>
        </w:rPr>
        <w:t xml:space="preserve">Ambos coincidieron en que la accesibilidad digital tiene una dimensión ética, social y económica, reafirmando su papel clave en el desarrollo de tecnologías inclusivas.</w:t>
      </w:r>
    </w:p>
    <w:p w:rsidR="00000000" w:rsidDel="00000000" w:rsidP="00000000" w:rsidRDefault="00000000" w:rsidRPr="00000000" w14:paraId="00000012">
      <w:pPr>
        <w:spacing w:after="240" w:before="240" w:line="252.00000000000003" w:lineRule="auto"/>
        <w:jc w:val="both"/>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Según datos de la Comisión Europea, más de </w:t>
      </w:r>
      <w:r w:rsidDel="00000000" w:rsidR="00000000" w:rsidRPr="00000000">
        <w:rPr>
          <w:rFonts w:ascii="Calibri" w:cs="Calibri" w:eastAsia="Calibri" w:hAnsi="Calibri"/>
          <w:b w:val="1"/>
          <w:sz w:val="24"/>
          <w:szCs w:val="24"/>
          <w:rtl w:val="0"/>
        </w:rPr>
        <w:t xml:space="preserve">87 millones de personas con discapacidad</w:t>
      </w:r>
      <w:r w:rsidDel="00000000" w:rsidR="00000000" w:rsidRPr="00000000">
        <w:rPr>
          <w:rFonts w:ascii="Calibri" w:cs="Calibri" w:eastAsia="Calibri" w:hAnsi="Calibri"/>
          <w:sz w:val="24"/>
          <w:szCs w:val="24"/>
          <w:rtl w:val="0"/>
        </w:rPr>
        <w:t xml:space="preserve"> en la UE se benefician directamente de esta directiva, que marca un antes y un después en el desarrollo de servicios digitales diseñados para todo, ya que esta Ley Europea de Accesibilidad busca garantizar que ninguna persona quede excluida del uso de servicios digitales esenciales como banca online, comercio electrónico o aplicaciones de transporte.</w:t>
      </w:r>
    </w:p>
    <w:p w:rsidR="00000000" w:rsidDel="00000000" w:rsidP="00000000" w:rsidRDefault="00000000" w:rsidRPr="00000000" w14:paraId="00000013">
      <w:pPr>
        <w:spacing w:after="240" w:before="240" w:line="252.00000000000003" w:lineRule="auto"/>
        <w:jc w:val="both"/>
        <w:rPr>
          <w:rFonts w:ascii="Calibri" w:cs="Calibri" w:eastAsia="Calibri" w:hAnsi="Calibri"/>
          <w:i w:val="1"/>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La presidenta de AEIT-Madrid, </w:t>
      </w:r>
      <w:r w:rsidDel="00000000" w:rsidR="00000000" w:rsidRPr="00000000">
        <w:rPr>
          <w:rFonts w:ascii="Calibri" w:cs="Calibri" w:eastAsia="Calibri" w:hAnsi="Calibri"/>
          <w:b w:val="1"/>
          <w:sz w:val="24"/>
          <w:szCs w:val="24"/>
          <w:rtl w:val="0"/>
        </w:rPr>
        <w:t xml:space="preserve">Inmaculada Sánchez Ramos</w:t>
      </w:r>
      <w:r w:rsidDel="00000000" w:rsidR="00000000" w:rsidRPr="00000000">
        <w:rPr>
          <w:rFonts w:ascii="Calibri" w:cs="Calibri" w:eastAsia="Calibri" w:hAnsi="Calibri"/>
          <w:sz w:val="24"/>
          <w:szCs w:val="24"/>
          <w:rtl w:val="0"/>
        </w:rPr>
        <w:t xml:space="preserve">, inauguró la sesión destacando que </w:t>
      </w:r>
      <w:r w:rsidDel="00000000" w:rsidR="00000000" w:rsidRPr="00000000">
        <w:rPr>
          <w:rFonts w:ascii="Calibri" w:cs="Calibri" w:eastAsia="Calibri" w:hAnsi="Calibri"/>
          <w:i w:val="1"/>
          <w:sz w:val="24"/>
          <w:szCs w:val="24"/>
          <w:rtl w:val="0"/>
        </w:rPr>
        <w:t xml:space="preserve">“la accesibilidad digital no es solo una obligación normativa, es una oportunidad para demostrar que la ingeniería de telecomunicación puede y debe estar al servicio de las personas”.</w:t>
      </w:r>
    </w:p>
    <w:p w:rsidR="00000000" w:rsidDel="00000000" w:rsidP="00000000" w:rsidRDefault="00000000" w:rsidRPr="00000000" w14:paraId="00000014">
      <w:pPr>
        <w:spacing w:after="240" w:before="240" w:line="252.00000000000003" w:lineRule="auto"/>
        <w:jc w:val="both"/>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Durante el coloquio se puso de relieve que:</w:t>
      </w:r>
    </w:p>
    <w:p w:rsidR="00000000" w:rsidDel="00000000" w:rsidP="00000000" w:rsidRDefault="00000000" w:rsidRPr="00000000" w14:paraId="00000015">
      <w:pPr>
        <w:numPr>
          <w:ilvl w:val="0"/>
          <w:numId w:val="2"/>
        </w:numPr>
        <w:spacing w:after="240" w:before="0" w:line="276" w:lineRule="auto"/>
        <w:ind w:left="720" w:hanging="360"/>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La accesibilidad digital </w:t>
      </w:r>
      <w:r w:rsidDel="00000000" w:rsidR="00000000" w:rsidRPr="00000000">
        <w:rPr>
          <w:rFonts w:ascii="Calibri" w:cs="Calibri" w:eastAsia="Calibri" w:hAnsi="Calibri"/>
          <w:sz w:val="24"/>
          <w:szCs w:val="24"/>
          <w:rtl w:val="0"/>
        </w:rPr>
        <w:t xml:space="preserve">no es un freno a la innovación</w:t>
      </w:r>
      <w:r w:rsidDel="00000000" w:rsidR="00000000" w:rsidRPr="00000000">
        <w:rPr>
          <w:rFonts w:ascii="Calibri" w:cs="Calibri" w:eastAsia="Calibri" w:hAnsi="Calibri"/>
          <w:sz w:val="24"/>
          <w:szCs w:val="24"/>
          <w:rtl w:val="0"/>
        </w:rPr>
        <w:t xml:space="preserve">, sino </w:t>
      </w:r>
      <w:r w:rsidDel="00000000" w:rsidR="00000000" w:rsidRPr="00000000">
        <w:rPr>
          <w:rFonts w:ascii="Calibri" w:cs="Calibri" w:eastAsia="Calibri" w:hAnsi="Calibri"/>
          <w:b w:val="1"/>
          <w:sz w:val="24"/>
          <w:szCs w:val="24"/>
          <w:rtl w:val="0"/>
        </w:rPr>
        <w:t xml:space="preserve">un estímulo para el desarrollo tecnológico inclusivo</w:t>
      </w:r>
      <w:r w:rsidDel="00000000" w:rsidR="00000000" w:rsidRPr="00000000">
        <w:rPr>
          <w:rFonts w:ascii="Calibri" w:cs="Calibri" w:eastAsia="Calibri" w:hAnsi="Calibri"/>
          <w:sz w:val="24"/>
          <w:szCs w:val="24"/>
          <w:rtl w:val="0"/>
        </w:rPr>
        <w:t xml:space="preserve">.</w:t>
        <w:br w:type="textWrapping"/>
      </w:r>
    </w:p>
    <w:p w:rsidR="00000000" w:rsidDel="00000000" w:rsidP="00000000" w:rsidRDefault="00000000" w:rsidRPr="00000000" w14:paraId="00000016">
      <w:pPr>
        <w:numPr>
          <w:ilvl w:val="0"/>
          <w:numId w:val="2"/>
        </w:numPr>
        <w:spacing w:after="0" w:before="0" w:line="276" w:lineRule="auto"/>
        <w:ind w:left="720" w:hanging="360"/>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España, a través de UNE, </w:t>
      </w:r>
      <w:r w:rsidDel="00000000" w:rsidR="00000000" w:rsidRPr="00000000">
        <w:rPr>
          <w:rFonts w:ascii="Calibri" w:cs="Calibri" w:eastAsia="Calibri" w:hAnsi="Calibri"/>
          <w:b w:val="1"/>
          <w:sz w:val="24"/>
          <w:szCs w:val="24"/>
          <w:rtl w:val="0"/>
        </w:rPr>
        <w:t xml:space="preserve">lidera la creación de estándares internacionales</w:t>
      </w:r>
      <w:r w:rsidDel="00000000" w:rsidR="00000000" w:rsidRPr="00000000">
        <w:rPr>
          <w:rFonts w:ascii="Calibri" w:cs="Calibri" w:eastAsia="Calibri" w:hAnsi="Calibri"/>
          <w:sz w:val="24"/>
          <w:szCs w:val="24"/>
          <w:rtl w:val="0"/>
        </w:rPr>
        <w:t xml:space="preserve"> que sirven de base para las políticas europeas.</w:t>
        <w:br w:type="textWrapping"/>
      </w:r>
    </w:p>
    <w:p w:rsidR="00000000" w:rsidDel="00000000" w:rsidP="00000000" w:rsidRDefault="00000000" w:rsidRPr="00000000" w14:paraId="00000017">
      <w:pPr>
        <w:numPr>
          <w:ilvl w:val="0"/>
          <w:numId w:val="2"/>
        </w:numPr>
        <w:spacing w:after="0" w:before="0" w:line="276" w:lineRule="auto"/>
        <w:ind w:left="720" w:hanging="360"/>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La </w:t>
      </w:r>
      <w:r w:rsidDel="00000000" w:rsidR="00000000" w:rsidRPr="00000000">
        <w:rPr>
          <w:rFonts w:ascii="Calibri" w:cs="Calibri" w:eastAsia="Calibri" w:hAnsi="Calibri"/>
          <w:b w:val="1"/>
          <w:sz w:val="24"/>
          <w:szCs w:val="24"/>
          <w:rtl w:val="0"/>
        </w:rPr>
        <w:t xml:space="preserve">inteligencia artificial</w:t>
      </w:r>
      <w:r w:rsidDel="00000000" w:rsidR="00000000" w:rsidRPr="00000000">
        <w:rPr>
          <w:rFonts w:ascii="Calibri" w:cs="Calibri" w:eastAsia="Calibri" w:hAnsi="Calibri"/>
          <w:sz w:val="24"/>
          <w:szCs w:val="24"/>
          <w:rtl w:val="0"/>
        </w:rPr>
        <w:t xml:space="preserve"> puede ser un acelerador decisivo para crear entornos digitales accesibles, siempre garantizando seguridad y privacidad.</w:t>
        <w:br w:type="textWrapping"/>
      </w:r>
    </w:p>
    <w:p w:rsidR="00000000" w:rsidDel="00000000" w:rsidP="00000000" w:rsidRDefault="00000000" w:rsidRPr="00000000" w14:paraId="00000018">
      <w:pPr>
        <w:numPr>
          <w:ilvl w:val="0"/>
          <w:numId w:val="2"/>
        </w:numPr>
        <w:spacing w:after="0" w:before="0" w:line="276" w:lineRule="auto"/>
        <w:ind w:left="720" w:hanging="360"/>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Un diseño accesible beneficia no solo a personas con discapacidad, sino también a </w:t>
      </w:r>
      <w:r w:rsidDel="00000000" w:rsidR="00000000" w:rsidRPr="00000000">
        <w:rPr>
          <w:rFonts w:ascii="Calibri" w:cs="Calibri" w:eastAsia="Calibri" w:hAnsi="Calibri"/>
          <w:b w:val="1"/>
          <w:sz w:val="24"/>
          <w:szCs w:val="24"/>
          <w:rtl w:val="0"/>
        </w:rPr>
        <w:t xml:space="preserve">mayores, usuarios en situaciones temporales de limitación</w:t>
      </w:r>
      <w:r w:rsidDel="00000000" w:rsidR="00000000" w:rsidRPr="00000000">
        <w:rPr>
          <w:rFonts w:ascii="Calibri" w:cs="Calibri" w:eastAsia="Calibri" w:hAnsi="Calibri"/>
          <w:sz w:val="24"/>
          <w:szCs w:val="24"/>
          <w:rtl w:val="0"/>
        </w:rPr>
        <w:t xml:space="preserve"> o a quienes acceden desde distintos dispositivos.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Calibri" w:cs="Calibri" w:eastAsia="Calibri" w:hAnsi="Calibri"/>
          <w:sz w:val="24"/>
          <w:szCs w:val="24"/>
        </w:rPr>
      </w:pPr>
      <w:bookmarkStart w:colFirst="0" w:colLast="0" w:name="_3mxa3sfbqyee" w:id="6"/>
      <w:bookmarkEnd w:id="6"/>
      <w:r w:rsidDel="00000000" w:rsidR="00000000" w:rsidRPr="00000000">
        <w:rPr>
          <w:rFonts w:ascii="Calibri" w:cs="Calibri" w:eastAsia="Calibri" w:hAnsi="Calibri"/>
          <w:sz w:val="24"/>
          <w:szCs w:val="24"/>
          <w:rtl w:val="0"/>
        </w:rPr>
        <w:t xml:space="preserve">La </w:t>
      </w:r>
      <w:r w:rsidDel="00000000" w:rsidR="00000000" w:rsidRPr="00000000">
        <w:rPr>
          <w:rFonts w:ascii="Calibri" w:cs="Calibri" w:eastAsia="Calibri" w:hAnsi="Calibri"/>
          <w:b w:val="1"/>
          <w:sz w:val="24"/>
          <w:szCs w:val="24"/>
          <w:rtl w:val="0"/>
        </w:rPr>
        <w:t xml:space="preserve">tecnología es, sin duda, un facilitador de la accesibilidad</w:t>
      </w:r>
      <w:r w:rsidDel="00000000" w:rsidR="00000000" w:rsidRPr="00000000">
        <w:rPr>
          <w:rFonts w:ascii="Calibri" w:cs="Calibri" w:eastAsia="Calibri" w:hAnsi="Calibri"/>
          <w:sz w:val="24"/>
          <w:szCs w:val="24"/>
          <w:rtl w:val="0"/>
        </w:rPr>
        <w:t xml:space="preserve"> en sus tres ámbitos: </w:t>
      </w:r>
      <w:r w:rsidDel="00000000" w:rsidR="00000000" w:rsidRPr="00000000">
        <w:rPr>
          <w:rFonts w:ascii="Calibri" w:cs="Calibri" w:eastAsia="Calibri" w:hAnsi="Calibri"/>
          <w:b w:val="1"/>
          <w:sz w:val="24"/>
          <w:szCs w:val="24"/>
          <w:rtl w:val="0"/>
        </w:rPr>
        <w:t xml:space="preserve">cognitivo, físico y sensorial.</w:t>
        <w:br w:type="textWrapping"/>
      </w:r>
    </w:p>
    <w:p w:rsidR="00000000" w:rsidDel="00000000" w:rsidP="00000000" w:rsidRDefault="00000000" w:rsidRPr="00000000" w14:paraId="0000001A">
      <w:pPr>
        <w:spacing w:after="240" w:before="240" w:line="252.00000000000003" w:lineRule="auto"/>
        <w:jc w:val="both"/>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sz w:val="24"/>
          <w:szCs w:val="24"/>
          <w:rtl w:val="0"/>
        </w:rPr>
        <w:t xml:space="preserve">Los ponentes coincidieron en que el reto de la próxima década será integrar la accesibilidad como un </w:t>
      </w:r>
      <w:r w:rsidDel="00000000" w:rsidR="00000000" w:rsidRPr="00000000">
        <w:rPr>
          <w:rFonts w:ascii="Calibri" w:cs="Calibri" w:eastAsia="Calibri" w:hAnsi="Calibri"/>
          <w:b w:val="1"/>
          <w:sz w:val="24"/>
          <w:szCs w:val="24"/>
          <w:rtl w:val="0"/>
        </w:rPr>
        <w:t xml:space="preserve">criterio transversal en todos los desarrollos tecnológicos</w:t>
      </w:r>
      <w:r w:rsidDel="00000000" w:rsidR="00000000" w:rsidRPr="00000000">
        <w:rPr>
          <w:rFonts w:ascii="Calibri" w:cs="Calibri" w:eastAsia="Calibri" w:hAnsi="Calibri"/>
          <w:sz w:val="24"/>
          <w:szCs w:val="24"/>
          <w:rtl w:val="0"/>
        </w:rPr>
        <w:t xml:space="preserve">, al igual que ya ocurre con la seguridad o la sostenibilidad.</w:t>
      </w:r>
    </w:p>
    <w:p w:rsidR="00000000" w:rsidDel="00000000" w:rsidP="00000000" w:rsidRDefault="00000000" w:rsidRPr="00000000" w14:paraId="0000001B">
      <w:pPr>
        <w:spacing w:after="240" w:before="240" w:line="252.00000000000003" w:lineRule="auto"/>
        <w:jc w:val="both"/>
        <w:rPr>
          <w:rFonts w:ascii="Calibri" w:cs="Calibri" w:eastAsia="Calibri" w:hAnsi="Calibri"/>
          <w:i w:val="1"/>
          <w:sz w:val="24"/>
          <w:szCs w:val="24"/>
        </w:rPr>
      </w:pPr>
      <w:bookmarkStart w:colFirst="0" w:colLast="0" w:name="_3znysh7" w:id="2"/>
      <w:bookmarkEnd w:id="2"/>
      <w:r w:rsidDel="00000000" w:rsidR="00000000" w:rsidRPr="00000000">
        <w:rPr>
          <w:rFonts w:ascii="Calibri" w:cs="Calibri" w:eastAsia="Calibri" w:hAnsi="Calibri"/>
          <w:b w:val="1"/>
          <w:sz w:val="24"/>
          <w:szCs w:val="24"/>
          <w:rtl w:val="0"/>
        </w:rPr>
        <w:t xml:space="preserve">María José Monferrer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vocal de la Asociación</w:t>
      </w:r>
      <w:r w:rsidDel="00000000" w:rsidR="00000000" w:rsidRPr="00000000">
        <w:rPr>
          <w:rFonts w:ascii="Calibri" w:cs="Calibri" w:eastAsia="Calibri" w:hAnsi="Calibri"/>
          <w:sz w:val="24"/>
          <w:szCs w:val="24"/>
          <w:rtl w:val="0"/>
        </w:rPr>
        <w:t xml:space="preserve">, fue la encargada de moderar el debate y recalcó que </w:t>
      </w:r>
      <w:r w:rsidDel="00000000" w:rsidR="00000000" w:rsidRPr="00000000">
        <w:rPr>
          <w:rFonts w:ascii="Calibri" w:cs="Calibri" w:eastAsia="Calibri" w:hAnsi="Calibri"/>
          <w:i w:val="1"/>
          <w:sz w:val="24"/>
          <w:szCs w:val="24"/>
          <w:rtl w:val="0"/>
        </w:rPr>
        <w:t xml:space="preserve">“el futuro digital será inclusivo si desde el presente pensamos y diseñamos para todos”.</w:t>
      </w:r>
    </w:p>
    <w:p w:rsidR="00000000" w:rsidDel="00000000" w:rsidP="00000000" w:rsidRDefault="00000000" w:rsidRPr="00000000" w14:paraId="0000001C">
      <w:pPr>
        <w:spacing w:after="240" w:before="240" w:line="252.00000000000003" w:lineRule="auto"/>
        <w:jc w:val="both"/>
        <w:rPr>
          <w:rFonts w:ascii="Calibri" w:cs="Calibri" w:eastAsia="Calibri" w:hAnsi="Calibri"/>
          <w:i w:val="1"/>
          <w:sz w:val="24"/>
          <w:szCs w:val="24"/>
        </w:rPr>
      </w:pPr>
      <w:bookmarkStart w:colFirst="0" w:colLast="0" w:name="_z6l8crg88a3c" w:id="7"/>
      <w:bookmarkEnd w:id="7"/>
      <w:r w:rsidDel="00000000" w:rsidR="00000000" w:rsidRPr="00000000">
        <w:rPr>
          <w:rFonts w:ascii="Calibri" w:cs="Calibri" w:eastAsia="Calibri" w:hAnsi="Calibri"/>
          <w:sz w:val="24"/>
          <w:szCs w:val="24"/>
          <w:rtl w:val="0"/>
        </w:rPr>
        <w:t xml:space="preserve">El acto concluyó con un debate abierto en el que se analizaron casos prácticos y retos inmediatos para empresas, administraciones públicas y profesionales de la ingeniería.</w:t>
      </w:r>
      <w:r w:rsidDel="00000000" w:rsidR="00000000" w:rsidRPr="00000000">
        <w:rPr>
          <w:rtl w:val="0"/>
        </w:rPr>
      </w:r>
    </w:p>
    <w:p w:rsidR="00000000" w:rsidDel="00000000" w:rsidP="00000000" w:rsidRDefault="00000000" w:rsidRPr="00000000" w14:paraId="0000001D">
      <w:pPr>
        <w:spacing w:line="252.00000000000003" w:lineRule="auto"/>
        <w:jc w:val="both"/>
        <w:rPr>
          <w:rFonts w:ascii="Calibri" w:cs="Calibri" w:eastAsia="Calibri" w:hAnsi="Calibri"/>
          <w:b w:val="1"/>
          <w:color w:val="0563c1"/>
          <w:sz w:val="24"/>
          <w:szCs w:val="24"/>
          <w:u w:val="single"/>
        </w:rPr>
      </w:pPr>
      <w:r w:rsidDel="00000000" w:rsidR="00000000" w:rsidRPr="00000000">
        <w:rPr>
          <w:rtl w:val="0"/>
        </w:rPr>
      </w:r>
    </w:p>
    <w:p w:rsidR="00000000" w:rsidDel="00000000" w:rsidP="00000000" w:rsidRDefault="00000000" w:rsidRPr="00000000" w14:paraId="0000001E">
      <w:pPr>
        <w:spacing w:line="252.00000000000003" w:lineRule="auto"/>
        <w:jc w:val="both"/>
        <w:rPr>
          <w:rFonts w:ascii="DIN Pro" w:cs="DIN Pro" w:eastAsia="DIN Pro" w:hAnsi="DIN Pro"/>
          <w:b w:val="1"/>
          <w:sz w:val="18"/>
          <w:szCs w:val="18"/>
          <w:u w:val="single"/>
        </w:rPr>
      </w:pPr>
      <w:bookmarkStart w:colFirst="0" w:colLast="0" w:name="_3lu929gy2rvr" w:id="8"/>
      <w:bookmarkEnd w:id="8"/>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1F">
      <w:pPr>
        <w:shd w:fill="ffffff" w:val="clear"/>
        <w:spacing w:after="280" w:before="280" w:line="240"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40% de los asociados del total nacional.</w:t>
      </w:r>
    </w:p>
    <w:p w:rsidR="00000000" w:rsidDel="00000000" w:rsidP="00000000" w:rsidRDefault="00000000" w:rsidRPr="00000000" w14:paraId="00000020">
      <w:pPr>
        <w:shd w:fill="ffffff" w:val="clear"/>
        <w:spacing w:after="150" w:line="240" w:lineRule="auto"/>
        <w:jc w:val="both"/>
        <w:rPr>
          <w:rFonts w:ascii="DIN Pro" w:cs="DIN Pro" w:eastAsia="DIN Pro" w:hAnsi="DIN Pro"/>
          <w:b w:val="1"/>
          <w:sz w:val="18"/>
          <w:szCs w:val="18"/>
          <w:u w:val="single"/>
        </w:rPr>
      </w:pPr>
      <w:r w:rsidDel="00000000" w:rsidR="00000000" w:rsidRPr="00000000">
        <w:rPr>
          <w:rFonts w:ascii="DIN Pro" w:cs="DIN Pro" w:eastAsia="DIN Pro" w:hAnsi="DIN Pro"/>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DIN Pro" w:cs="DIN Pro" w:eastAsia="DIN Pro" w:hAnsi="DIN Pro"/>
          <w:b w:val="1"/>
          <w:sz w:val="18"/>
          <w:szCs w:val="18"/>
          <w:u w:val="single"/>
        </w:rPr>
      </w:pPr>
      <w:r w:rsidDel="00000000" w:rsidR="00000000" w:rsidRPr="00000000">
        <w:rPr>
          <w:rtl w:val="0"/>
        </w:rPr>
      </w:r>
    </w:p>
    <w:p w:rsidR="00000000" w:rsidDel="00000000" w:rsidP="00000000" w:rsidRDefault="00000000" w:rsidRPr="00000000" w14:paraId="00000022">
      <w:pPr>
        <w:spacing w:line="252.00000000000003" w:lineRule="auto"/>
        <w:jc w:val="both"/>
        <w:rPr>
          <w:rFonts w:ascii="Calibri" w:cs="Calibri" w:eastAsia="Calibri" w:hAnsi="Calibri"/>
          <w:b w:val="1"/>
          <w:color w:val="0563c1"/>
          <w:u w:val="singl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8"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4486275</wp:posOffset>
          </wp:positionH>
          <wp:positionV relativeFrom="paragraph">
            <wp:posOffset>-142874</wp:posOffset>
          </wp:positionV>
          <wp:extent cx="1590675" cy="58656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aeitm.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