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i w:val="1"/>
          <w:sz w:val="24"/>
          <w:szCs w:val="24"/>
        </w:rPr>
      </w:pPr>
      <w:hyperlink r:id="rId7">
        <w:r w:rsidDel="00000000" w:rsidR="00000000" w:rsidRPr="00000000">
          <w:rPr>
            <w:b w:val="1"/>
            <w:i w:val="1"/>
            <w:color w:val="1155cc"/>
            <w:sz w:val="24"/>
            <w:szCs w:val="24"/>
            <w:u w:val="single"/>
            <w:rtl w:val="0"/>
          </w:rPr>
          <w:t xml:space="preserve">123tinta</w:t>
        </w:r>
      </w:hyperlink>
      <w:hyperlink r:id="rId8">
        <w:r w:rsidDel="00000000" w:rsidR="00000000" w:rsidRPr="00000000">
          <w:rPr>
            <w:b w:val="1"/>
            <w:i w:val="1"/>
            <w:color w:val="1155cc"/>
            <w:sz w:val="24"/>
            <w:szCs w:val="24"/>
            <w:u w:val="single"/>
            <w:rtl w:val="0"/>
          </w:rPr>
          <w:t xml:space="preserve">.es</w:t>
        </w:r>
      </w:hyperlink>
      <w:r w:rsidDel="00000000" w:rsidR="00000000" w:rsidRPr="00000000">
        <w:rPr>
          <w:b w:val="1"/>
          <w:i w:val="1"/>
          <w:sz w:val="24"/>
          <w:szCs w:val="24"/>
          <w:rtl w:val="0"/>
        </w:rPr>
        <w:t xml:space="preserve"> ofrece</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Brown" w:cs="Brown" w:eastAsia="Brown" w:hAnsi="Brown"/>
          <w:b w:val="1"/>
          <w:sz w:val="48"/>
          <w:szCs w:val="4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Brown" w:cs="Brown" w:eastAsia="Brown" w:hAnsi="Brown"/>
          <w:b w:val="1"/>
          <w:sz w:val="48"/>
          <w:szCs w:val="48"/>
        </w:rPr>
      </w:pPr>
      <w:r w:rsidDel="00000000" w:rsidR="00000000" w:rsidRPr="00000000">
        <w:rPr>
          <w:rFonts w:ascii="Brown" w:cs="Brown" w:eastAsia="Brown" w:hAnsi="Brown"/>
          <w:b w:val="1"/>
          <w:sz w:val="48"/>
          <w:szCs w:val="48"/>
          <w:rtl w:val="0"/>
        </w:rPr>
        <w:t xml:space="preserve">Los mejores consejos para almacenar los toners de forma correcta</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pacing w:after="200" w:before="240" w:line="240" w:lineRule="auto"/>
        <w:ind w:left="720" w:right="-125" w:hanging="360"/>
        <w:rPr>
          <w:b w:val="1"/>
          <w:i w:val="1"/>
          <w:sz w:val="24"/>
          <w:szCs w:val="24"/>
        </w:rPr>
      </w:pPr>
      <w:r w:rsidDel="00000000" w:rsidR="00000000" w:rsidRPr="00000000">
        <w:rPr>
          <w:b w:val="1"/>
          <w:i w:val="1"/>
          <w:sz w:val="24"/>
          <w:szCs w:val="24"/>
          <w:rtl w:val="0"/>
        </w:rPr>
        <w:t xml:space="preserve">El almacenamiento adecuado de los toners y cartuchos ayuda a su conservación y rendimiento</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pacing w:after="200" w:before="240" w:line="240" w:lineRule="auto"/>
        <w:ind w:left="720" w:right="-125" w:hanging="360"/>
        <w:rPr>
          <w:b w:val="1"/>
          <w:i w:val="1"/>
          <w:sz w:val="24"/>
          <w:szCs w:val="24"/>
          <w:u w:val="none"/>
        </w:rPr>
      </w:pPr>
      <w:r w:rsidDel="00000000" w:rsidR="00000000" w:rsidRPr="00000000">
        <w:rPr>
          <w:b w:val="1"/>
          <w:i w:val="1"/>
          <w:sz w:val="24"/>
          <w:szCs w:val="24"/>
          <w:rtl w:val="0"/>
        </w:rPr>
        <w:t xml:space="preserve">El ecommerce fomenta su uso responsable para ayudar a los usuarios a optimizar su consumo y reducir el impacto ambiental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before="240" w:line="240" w:lineRule="auto"/>
        <w:ind w:left="0" w:right="-125" w:firstLine="0"/>
        <w:jc w:val="center"/>
        <w:rPr>
          <w:b w:val="1"/>
          <w:i w:val="1"/>
          <w:sz w:val="24"/>
          <w:szCs w:val="24"/>
        </w:rPr>
      </w:pPr>
      <w:r w:rsidDel="00000000" w:rsidR="00000000" w:rsidRPr="00000000">
        <w:rPr>
          <w:rtl w:val="0"/>
        </w:rPr>
      </w:r>
    </w:p>
    <w:p w:rsidR="00000000" w:rsidDel="00000000" w:rsidP="00000000" w:rsidRDefault="00000000" w:rsidRPr="00000000" w14:paraId="00000008">
      <w:pPr>
        <w:spacing w:before="240" w:lineRule="auto"/>
        <w:jc w:val="both"/>
        <w:rPr>
          <w:sz w:val="24"/>
          <w:szCs w:val="24"/>
        </w:rPr>
      </w:pPr>
      <w:r w:rsidDel="00000000" w:rsidR="00000000" w:rsidRPr="00000000">
        <w:rPr>
          <w:b w:val="1"/>
          <w:sz w:val="24"/>
          <w:szCs w:val="24"/>
          <w:rtl w:val="0"/>
        </w:rPr>
        <w:t xml:space="preserve">Madrid, xx de febrero de 2025 </w:t>
      </w:r>
      <w:r w:rsidDel="00000000" w:rsidR="00000000" w:rsidRPr="00000000">
        <w:rPr>
          <w:sz w:val="24"/>
          <w:szCs w:val="24"/>
          <w:rtl w:val="0"/>
        </w:rPr>
        <w:t xml:space="preserve">- El almacenamiento adecuado de los </w:t>
      </w:r>
      <w:r w:rsidDel="00000000" w:rsidR="00000000" w:rsidRPr="00000000">
        <w:rPr>
          <w:sz w:val="24"/>
          <w:szCs w:val="24"/>
          <w:rtl w:val="0"/>
        </w:rPr>
        <w:t xml:space="preserve">toner</w:t>
      </w:r>
      <w:r w:rsidDel="00000000" w:rsidR="00000000" w:rsidRPr="00000000">
        <w:rPr>
          <w:sz w:val="24"/>
          <w:szCs w:val="24"/>
          <w:rtl w:val="0"/>
        </w:rPr>
        <w:t xml:space="preserve">s es clave para asegurar que se mantengan en condiciones óptimas durante el mayor tiempo posible. De esta manera, tanto empresas como particulares pueden hacer un pedido completo y, aunque no los repongan a la vez, echar mano de cada uno según los vayan necesitando.</w:t>
      </w:r>
    </w:p>
    <w:p w:rsidR="00000000" w:rsidDel="00000000" w:rsidP="00000000" w:rsidRDefault="00000000" w:rsidRPr="00000000" w14:paraId="00000009">
      <w:pPr>
        <w:spacing w:before="240" w:lineRule="auto"/>
        <w:jc w:val="both"/>
        <w:rPr>
          <w:sz w:val="24"/>
          <w:szCs w:val="24"/>
        </w:rPr>
      </w:pPr>
      <w:r w:rsidDel="00000000" w:rsidR="00000000" w:rsidRPr="00000000">
        <w:rPr>
          <w:sz w:val="24"/>
          <w:szCs w:val="24"/>
          <w:rtl w:val="0"/>
        </w:rPr>
        <w:t xml:space="preserve">123tinta.es</w:t>
      </w:r>
      <w:r w:rsidDel="00000000" w:rsidR="00000000" w:rsidRPr="00000000">
        <w:rPr>
          <w:b w:val="1"/>
          <w:sz w:val="24"/>
          <w:szCs w:val="24"/>
          <w:rtl w:val="0"/>
        </w:rPr>
        <w:t xml:space="preserve">, </w:t>
      </w:r>
      <w:r w:rsidDel="00000000" w:rsidR="00000000" w:rsidRPr="00000000">
        <w:rPr>
          <w:sz w:val="24"/>
          <w:szCs w:val="24"/>
          <w:rtl w:val="0"/>
        </w:rPr>
        <w:t xml:space="preserve">el </w:t>
      </w:r>
      <w:r w:rsidDel="00000000" w:rsidR="00000000" w:rsidRPr="00000000">
        <w:rPr>
          <w:i w:val="1"/>
          <w:sz w:val="24"/>
          <w:szCs w:val="24"/>
          <w:rtl w:val="0"/>
        </w:rPr>
        <w:t xml:space="preserve">ecommerce</w:t>
      </w:r>
      <w:r w:rsidDel="00000000" w:rsidR="00000000" w:rsidRPr="00000000">
        <w:rPr>
          <w:sz w:val="24"/>
          <w:szCs w:val="24"/>
          <w:rtl w:val="0"/>
        </w:rPr>
        <w:t xml:space="preserve"> de</w:t>
      </w:r>
      <w:r w:rsidDel="00000000" w:rsidR="00000000" w:rsidRPr="00000000">
        <w:rPr>
          <w:color w:val="1f1f1f"/>
          <w:sz w:val="24"/>
          <w:szCs w:val="24"/>
          <w:rtl w:val="0"/>
        </w:rPr>
        <w:t xml:space="preserve"> </w:t>
      </w:r>
      <w:hyperlink r:id="rId9">
        <w:r w:rsidDel="00000000" w:rsidR="00000000" w:rsidRPr="00000000">
          <w:rPr>
            <w:color w:val="1155cc"/>
            <w:sz w:val="24"/>
            <w:szCs w:val="24"/>
            <w:u w:val="single"/>
            <w:rtl w:val="0"/>
          </w:rPr>
          <w:t xml:space="preserve">cartuchos de impresora</w:t>
        </w:r>
      </w:hyperlink>
      <w:r w:rsidDel="00000000" w:rsidR="00000000" w:rsidRPr="00000000">
        <w:rPr>
          <w:color w:val="1f1f1f"/>
          <w:sz w:val="24"/>
          <w:szCs w:val="24"/>
          <w:rtl w:val="0"/>
        </w:rPr>
        <w:t xml:space="preserve"> </w:t>
      </w:r>
      <w:r w:rsidDel="00000000" w:rsidR="00000000" w:rsidRPr="00000000">
        <w:rPr>
          <w:sz w:val="24"/>
          <w:szCs w:val="24"/>
          <w:rtl w:val="0"/>
        </w:rPr>
        <w:t xml:space="preserve">y </w:t>
      </w:r>
      <w:hyperlink r:id="rId10">
        <w:r w:rsidDel="00000000" w:rsidR="00000000" w:rsidRPr="00000000">
          <w:rPr>
            <w:color w:val="1155cc"/>
            <w:sz w:val="24"/>
            <w:szCs w:val="24"/>
            <w:u w:val="single"/>
            <w:rtl w:val="0"/>
          </w:rPr>
          <w:t xml:space="preserve">toner</w:t>
        </w:r>
      </w:hyperlink>
      <w:r w:rsidDel="00000000" w:rsidR="00000000" w:rsidRPr="00000000">
        <w:rPr>
          <w:sz w:val="24"/>
          <w:szCs w:val="24"/>
          <w:rtl w:val="0"/>
        </w:rPr>
        <w:t xml:space="preserve">, ofrece las siguientes recomendaciones para almacenar los toners de manera eficiente y maximizar su durabilidad.</w:t>
      </w:r>
    </w:p>
    <w:p w:rsidR="00000000" w:rsidDel="00000000" w:rsidP="00000000" w:rsidRDefault="00000000" w:rsidRPr="00000000" w14:paraId="0000000A">
      <w:pPr>
        <w:spacing w:before="240" w:lineRule="auto"/>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3333750</wp:posOffset>
            </wp:positionH>
            <wp:positionV relativeFrom="paragraph">
              <wp:posOffset>466725</wp:posOffset>
            </wp:positionV>
            <wp:extent cx="2135478" cy="2676728"/>
            <wp:effectExtent b="0" l="0" r="0" t="0"/>
            <wp:wrapSquare wrapText="bothSides" distB="114300" distT="114300" distL="114300" distR="114300"/>
            <wp:docPr id="48"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135478" cy="2676728"/>
                    </a:xfrm>
                    <a:prstGeom prst="rect"/>
                    <a:ln/>
                  </pic:spPr>
                </pic:pic>
              </a:graphicData>
            </a:graphic>
          </wp:anchor>
        </w:drawing>
      </w:r>
    </w:p>
    <w:p w:rsidR="00000000" w:rsidDel="00000000" w:rsidP="00000000" w:rsidRDefault="00000000" w:rsidRPr="00000000" w14:paraId="0000000B">
      <w:pPr>
        <w:numPr>
          <w:ilvl w:val="0"/>
          <w:numId w:val="3"/>
        </w:numPr>
        <w:spacing w:after="0" w:afterAutospacing="0" w:before="240" w:lineRule="auto"/>
        <w:ind w:left="720" w:hanging="360"/>
        <w:jc w:val="both"/>
        <w:rPr>
          <w:sz w:val="24"/>
          <w:szCs w:val="24"/>
          <w:u w:val="none"/>
        </w:rPr>
      </w:pPr>
      <w:r w:rsidDel="00000000" w:rsidR="00000000" w:rsidRPr="00000000">
        <w:rPr>
          <w:b w:val="1"/>
          <w:sz w:val="24"/>
          <w:szCs w:val="24"/>
          <w:rtl w:val="0"/>
        </w:rPr>
        <w:t xml:space="preserve">Elección de</w:t>
      </w:r>
      <w:r w:rsidDel="00000000" w:rsidR="00000000" w:rsidRPr="00000000">
        <w:rPr>
          <w:b w:val="1"/>
          <w:sz w:val="24"/>
          <w:szCs w:val="24"/>
          <w:rtl w:val="0"/>
        </w:rPr>
        <w:t xml:space="preserve"> un lugar adecuado</w:t>
      </w:r>
      <w:r w:rsidDel="00000000" w:rsidR="00000000" w:rsidRPr="00000000">
        <w:rPr>
          <w:sz w:val="24"/>
          <w:szCs w:val="24"/>
          <w:rtl w:val="0"/>
        </w:rPr>
        <w:t xml:space="preserve">: Los cartuchos deben guardarse en una caja cerrada, señalando la parte superior del cartucho con una flecha. Así se evita la distribución desigual del polvo, lo que podría afectar a la calidad de la impresión.</w:t>
      </w:r>
    </w:p>
    <w:p w:rsidR="00000000" w:rsidDel="00000000" w:rsidP="00000000" w:rsidRDefault="00000000" w:rsidRPr="00000000" w14:paraId="0000000C">
      <w:pPr>
        <w:numPr>
          <w:ilvl w:val="0"/>
          <w:numId w:val="3"/>
        </w:numPr>
        <w:spacing w:before="0" w:beforeAutospacing="0" w:lineRule="auto"/>
        <w:ind w:left="720" w:hanging="360"/>
        <w:jc w:val="both"/>
        <w:rPr>
          <w:sz w:val="24"/>
          <w:szCs w:val="24"/>
          <w:u w:val="none"/>
        </w:rPr>
      </w:pPr>
      <w:r w:rsidDel="00000000" w:rsidR="00000000" w:rsidRPr="00000000">
        <w:rPr>
          <w:b w:val="1"/>
          <w:sz w:val="24"/>
          <w:szCs w:val="24"/>
          <w:rtl w:val="0"/>
        </w:rPr>
        <w:t xml:space="preserve">Protección contra la luz solar directa</w:t>
      </w:r>
      <w:r w:rsidDel="00000000" w:rsidR="00000000" w:rsidRPr="00000000">
        <w:rPr>
          <w:sz w:val="24"/>
          <w:szCs w:val="24"/>
          <w:rtl w:val="0"/>
        </w:rPr>
        <w:t xml:space="preserve">: Es importante que los cartuchos no estén expuestos directamente a la luz solar, ya que esta puede secar el toner y afectar a las impresiones.</w:t>
      </w:r>
    </w:p>
    <w:p w:rsidR="00000000" w:rsidDel="00000000" w:rsidP="00000000" w:rsidRDefault="00000000" w:rsidRPr="00000000" w14:paraId="0000000D">
      <w:pPr>
        <w:spacing w:before="240" w:lineRule="auto"/>
        <w:jc w:val="both"/>
        <w:rPr>
          <w:sz w:val="24"/>
          <w:szCs w:val="24"/>
        </w:rPr>
      </w:pPr>
      <w:r w:rsidDel="00000000" w:rsidR="00000000" w:rsidRPr="00000000">
        <w:rPr>
          <w:rtl w:val="0"/>
        </w:rPr>
      </w:r>
    </w:p>
    <w:p w:rsidR="00000000" w:rsidDel="00000000" w:rsidP="00000000" w:rsidRDefault="00000000" w:rsidRPr="00000000" w14:paraId="0000000E">
      <w:pPr>
        <w:numPr>
          <w:ilvl w:val="0"/>
          <w:numId w:val="3"/>
        </w:numPr>
        <w:spacing w:after="0" w:afterAutospacing="0" w:before="240" w:lineRule="auto"/>
        <w:ind w:left="720" w:hanging="360"/>
        <w:jc w:val="both"/>
        <w:rPr>
          <w:sz w:val="24"/>
          <w:szCs w:val="24"/>
          <w:u w:val="none"/>
        </w:rPr>
      </w:pPr>
      <w:r w:rsidDel="00000000" w:rsidR="00000000" w:rsidRPr="00000000">
        <w:rPr>
          <w:b w:val="1"/>
          <w:sz w:val="24"/>
          <w:szCs w:val="24"/>
          <w:rtl w:val="0"/>
        </w:rPr>
        <w:t xml:space="preserve">Temperatura y humedad controladas</w:t>
      </w:r>
      <w:r w:rsidDel="00000000" w:rsidR="00000000" w:rsidRPr="00000000">
        <w:rPr>
          <w:sz w:val="24"/>
          <w:szCs w:val="24"/>
          <w:rtl w:val="0"/>
        </w:rPr>
        <w:t xml:space="preserve">: Los toners deben guardarse a temperatura ambiente en lugares secos. La exposición a condiciones de alta humedad puede dañar la calidad del tóner y reducir su vida útil.</w:t>
      </w:r>
    </w:p>
    <w:p w:rsidR="00000000" w:rsidDel="00000000" w:rsidP="00000000" w:rsidRDefault="00000000" w:rsidRPr="00000000" w14:paraId="0000000F">
      <w:pPr>
        <w:numPr>
          <w:ilvl w:val="0"/>
          <w:numId w:val="1"/>
        </w:numPr>
        <w:spacing w:before="0" w:beforeAutospacing="0" w:lineRule="auto"/>
        <w:ind w:left="720" w:hanging="360"/>
        <w:jc w:val="both"/>
        <w:rPr>
          <w:sz w:val="24"/>
          <w:szCs w:val="24"/>
          <w:u w:val="none"/>
        </w:rPr>
      </w:pPr>
      <w:r w:rsidDel="00000000" w:rsidR="00000000" w:rsidRPr="00000000">
        <w:rPr>
          <w:b w:val="1"/>
          <w:sz w:val="24"/>
          <w:szCs w:val="24"/>
          <w:rtl w:val="0"/>
        </w:rPr>
        <w:t xml:space="preserve">Recomendación de agitar antes de usar:</w:t>
      </w:r>
      <w:r w:rsidDel="00000000" w:rsidR="00000000" w:rsidRPr="00000000">
        <w:rPr>
          <w:sz w:val="24"/>
          <w:szCs w:val="24"/>
          <w:rtl w:val="0"/>
        </w:rPr>
        <w:t xml:space="preserve"> Si el cartucho ha estado almacenado por un largo periodo, es recomendable agitarlo varias veces antes de su instalación en la impresora.</w:t>
      </w:r>
    </w:p>
    <w:p w:rsidR="00000000" w:rsidDel="00000000" w:rsidP="00000000" w:rsidRDefault="00000000" w:rsidRPr="00000000" w14:paraId="00000010">
      <w:pPr>
        <w:spacing w:before="240" w:lineRule="auto"/>
        <w:jc w:val="both"/>
        <w:rPr>
          <w:sz w:val="24"/>
          <w:szCs w:val="24"/>
        </w:rPr>
      </w:pPr>
      <w:r w:rsidDel="00000000" w:rsidR="00000000" w:rsidRPr="00000000">
        <w:rPr>
          <w:sz w:val="24"/>
          <w:szCs w:val="24"/>
          <w:rtl w:val="0"/>
        </w:rPr>
        <w:t xml:space="preserve">Para almacenar un tóner abierto, se recomienda guardarlo en su embalaje original para protegerlo de la luz y la humedad. Si el tóner está instalado en la impresora y no se va a utilizar durante un período largo, la impresora debe estar ubicada en un lugar con temperatura ambiente estable, sin humedad ni exposición directa al sol. </w:t>
      </w:r>
    </w:p>
    <w:p w:rsidR="00000000" w:rsidDel="00000000" w:rsidP="00000000" w:rsidRDefault="00000000" w:rsidRPr="00000000" w14:paraId="00000011">
      <w:pPr>
        <w:spacing w:before="240" w:lineRule="auto"/>
        <w:jc w:val="both"/>
        <w:rPr>
          <w:sz w:val="24"/>
          <w:szCs w:val="24"/>
        </w:rPr>
      </w:pPr>
      <w:r w:rsidDel="00000000" w:rsidR="00000000" w:rsidRPr="00000000">
        <w:rPr>
          <w:sz w:val="24"/>
          <w:szCs w:val="24"/>
          <w:rtl w:val="0"/>
        </w:rPr>
        <w:t xml:space="preserve">Todos estos sencillos consejos harán que el rendimiento de los tóners se mantenga óptimo durante más tiempo. Así, no solo se favorece a la calidad de impresión, sino que también permite a los usuarios maximizar el uso de sus consumibles y ahorrar dinero a largo plazo.</w:t>
      </w:r>
    </w:p>
    <w:p w:rsidR="00000000" w:rsidDel="00000000" w:rsidP="00000000" w:rsidRDefault="00000000" w:rsidRPr="00000000" w14:paraId="00000012">
      <w:pPr>
        <w:spacing w:after="0" w:line="240" w:lineRule="auto"/>
        <w:jc w:val="both"/>
        <w:rPr>
          <w:b w:val="1"/>
          <w:i w:val="1"/>
          <w:u w:val="single"/>
        </w:rPr>
      </w:pPr>
      <w:r w:rsidDel="00000000" w:rsidR="00000000" w:rsidRPr="00000000">
        <w:rPr>
          <w:rtl w:val="0"/>
        </w:rPr>
      </w:r>
    </w:p>
    <w:p w:rsidR="00000000" w:rsidDel="00000000" w:rsidP="00000000" w:rsidRDefault="00000000" w:rsidRPr="00000000" w14:paraId="00000013">
      <w:pPr>
        <w:spacing w:after="0" w:line="240" w:lineRule="auto"/>
        <w:jc w:val="both"/>
        <w:rPr>
          <w:b w:val="1"/>
          <w:i w:val="1"/>
          <w:u w:val="single"/>
        </w:rPr>
      </w:pPr>
      <w:r w:rsidDel="00000000" w:rsidR="00000000" w:rsidRPr="00000000">
        <w:rPr>
          <w:b w:val="1"/>
          <w:i w:val="1"/>
          <w:u w:val="single"/>
          <w:rtl w:val="0"/>
        </w:rPr>
        <w:t xml:space="preserve">Sobre 123tinta.es</w:t>
      </w:r>
    </w:p>
    <w:p w:rsidR="00000000" w:rsidDel="00000000" w:rsidP="00000000" w:rsidRDefault="00000000" w:rsidRPr="00000000" w14:paraId="00000014">
      <w:pPr>
        <w:spacing w:after="0" w:line="240" w:lineRule="auto"/>
        <w:jc w:val="both"/>
        <w:rPr>
          <w:b w:val="1"/>
          <w:i w:val="1"/>
          <w:u w:val="single"/>
        </w:rPr>
      </w:pPr>
      <w:r w:rsidDel="00000000" w:rsidR="00000000" w:rsidRPr="00000000">
        <w:rPr>
          <w:rtl w:val="0"/>
        </w:rPr>
      </w:r>
    </w:p>
    <w:p w:rsidR="00000000" w:rsidDel="00000000" w:rsidP="00000000" w:rsidRDefault="00000000" w:rsidRPr="00000000" w14:paraId="00000015">
      <w:pPr>
        <w:jc w:val="both"/>
        <w:rPr>
          <w:sz w:val="20"/>
          <w:szCs w:val="20"/>
        </w:rPr>
      </w:pPr>
      <w:r w:rsidDel="00000000" w:rsidR="00000000" w:rsidRPr="00000000">
        <w:rPr>
          <w:sz w:val="20"/>
          <w:szCs w:val="20"/>
          <w:rtl w:val="0"/>
        </w:rPr>
        <w:t xml:space="preserve">123tinta.es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16">
      <w:pPr>
        <w:jc w:val="both"/>
        <w:rPr>
          <w:b w:val="1"/>
          <w:i w:val="1"/>
          <w:sz w:val="20"/>
          <w:szCs w:val="20"/>
          <w:u w:val="single"/>
        </w:rPr>
      </w:pPr>
      <w:r w:rsidDel="00000000" w:rsidR="00000000" w:rsidRPr="00000000">
        <w:rPr>
          <w:sz w:val="20"/>
          <w:szCs w:val="20"/>
          <w:rtl w:val="0"/>
        </w:rPr>
        <w:t xml:space="preserve">Ofrece los cartuchos de tinta y tóner con la garantía de precio más bajo tanto para usuario particular como para empresas. Asimismo, cuentan con un amplio catálogo de artículos de papelería y material escolar. Dispone de un servicio de atención al cliente pre y posventa y un servicio de entrega rápida en 24 horas.</w:t>
      </w:r>
      <w:r w:rsidDel="00000000" w:rsidR="00000000" w:rsidRPr="00000000">
        <w:rPr>
          <w:rtl w:val="0"/>
        </w:rPr>
      </w:r>
    </w:p>
    <w:p w:rsidR="00000000" w:rsidDel="00000000" w:rsidP="00000000" w:rsidRDefault="00000000" w:rsidRPr="00000000" w14:paraId="00000017">
      <w:pPr>
        <w:spacing w:after="0" w:line="276" w:lineRule="auto"/>
        <w:rPr/>
      </w:pPr>
      <w:r w:rsidDel="00000000" w:rsidR="00000000" w:rsidRPr="00000000">
        <w:rPr>
          <w:rtl w:val="0"/>
        </w:rPr>
      </w:r>
    </w:p>
    <w:p w:rsidR="00000000" w:rsidDel="00000000" w:rsidP="00000000" w:rsidRDefault="00000000" w:rsidRPr="00000000" w14:paraId="00000018">
      <w:pPr>
        <w:spacing w:after="0" w:line="276" w:lineRule="auto"/>
        <w:rPr>
          <w:b w:val="1"/>
          <w:sz w:val="20"/>
          <w:szCs w:val="20"/>
        </w:rPr>
      </w:pPr>
      <w:r w:rsidDel="00000000" w:rsidR="00000000" w:rsidRPr="00000000">
        <w:rPr>
          <w:b w:val="1"/>
          <w:sz w:val="20"/>
          <w:szCs w:val="20"/>
          <w:rtl w:val="0"/>
        </w:rPr>
        <w:t xml:space="preserve">Más información:</w:t>
      </w:r>
    </w:p>
    <w:p w:rsidR="00000000" w:rsidDel="00000000" w:rsidP="00000000" w:rsidRDefault="00000000" w:rsidRPr="00000000" w14:paraId="00000019">
      <w:pPr>
        <w:spacing w:after="0" w:line="276" w:lineRule="auto"/>
        <w:rPr>
          <w:b w:val="1"/>
          <w:sz w:val="20"/>
          <w:szCs w:val="20"/>
          <w:u w:val="single"/>
        </w:rPr>
      </w:pPr>
      <w:r w:rsidDel="00000000" w:rsidR="00000000" w:rsidRPr="00000000">
        <w:rPr>
          <w:b w:val="1"/>
          <w:sz w:val="20"/>
          <w:szCs w:val="20"/>
          <w:u w:val="single"/>
          <w:rtl w:val="0"/>
        </w:rPr>
        <w:t xml:space="preserve">Actitud de Comunicación</w:t>
      </w:r>
    </w:p>
    <w:p w:rsidR="00000000" w:rsidDel="00000000" w:rsidP="00000000" w:rsidRDefault="00000000" w:rsidRPr="00000000" w14:paraId="0000001A">
      <w:pPr>
        <w:spacing w:after="0" w:line="276" w:lineRule="auto"/>
        <w:rPr>
          <w:sz w:val="20"/>
          <w:szCs w:val="20"/>
        </w:rPr>
      </w:pPr>
      <w:r w:rsidDel="00000000" w:rsidR="00000000" w:rsidRPr="00000000">
        <w:rPr>
          <w:sz w:val="20"/>
          <w:szCs w:val="20"/>
          <w:rtl w:val="0"/>
        </w:rPr>
        <w:t xml:space="preserve">Irati Miguel: </w:t>
      </w:r>
      <w:hyperlink r:id="rId12">
        <w:r w:rsidDel="00000000" w:rsidR="00000000" w:rsidRPr="00000000">
          <w:rPr>
            <w:color w:val="1155cc"/>
            <w:sz w:val="20"/>
            <w:szCs w:val="20"/>
            <w:u w:val="single"/>
            <w:rtl w:val="0"/>
          </w:rPr>
          <w:t xml:space="preserve">irati.miguel@actitud.es</w:t>
        </w:r>
      </w:hyperlink>
      <w:r w:rsidDel="00000000" w:rsidR="00000000" w:rsidRPr="00000000">
        <w:rPr>
          <w:sz w:val="20"/>
          <w:szCs w:val="20"/>
          <w:rtl w:val="0"/>
        </w:rPr>
        <w:t xml:space="preserve"> </w:t>
      </w:r>
    </w:p>
    <w:p w:rsidR="00000000" w:rsidDel="00000000" w:rsidP="00000000" w:rsidRDefault="00000000" w:rsidRPr="00000000" w14:paraId="0000001B">
      <w:pPr>
        <w:spacing w:after="0" w:line="276" w:lineRule="auto"/>
        <w:rPr/>
      </w:pPr>
      <w:r w:rsidDel="00000000" w:rsidR="00000000" w:rsidRPr="00000000">
        <w:rPr>
          <w:sz w:val="20"/>
          <w:szCs w:val="20"/>
          <w:rtl w:val="0"/>
        </w:rPr>
        <w:t xml:space="preserve">Teléfono: 913 02 28 60</w:t>
      </w:r>
      <w:r w:rsidDel="00000000" w:rsidR="00000000" w:rsidRPr="00000000">
        <w:rPr>
          <w:rtl w:val="0"/>
        </w:rPr>
      </w:r>
    </w:p>
    <w:p w:rsidR="00000000" w:rsidDel="00000000" w:rsidP="00000000" w:rsidRDefault="00000000" w:rsidRPr="00000000" w14:paraId="0000001C">
      <w:pPr>
        <w:spacing w:after="0" w:line="240" w:lineRule="auto"/>
        <w:jc w:val="both"/>
        <w:rPr/>
      </w:pPr>
      <w:r w:rsidDel="00000000" w:rsidR="00000000" w:rsidRPr="00000000">
        <w:rPr>
          <w:rtl w:val="0"/>
        </w:rPr>
      </w:r>
    </w:p>
    <w:p w:rsidR="00000000" w:rsidDel="00000000" w:rsidP="00000000" w:rsidRDefault="00000000" w:rsidRPr="00000000" w14:paraId="0000001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13" w:type="default"/>
      <w:footerReference r:id="rId14" w:type="default"/>
      <w:pgSz w:h="16838" w:w="11906" w:orient="portrait"/>
      <w:pgMar w:bottom="1417" w:top="1559.0551181102362"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Brow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999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4582795</wp:posOffset>
          </wp:positionH>
          <wp:positionV relativeFrom="paragraph">
            <wp:posOffset>88900</wp:posOffset>
          </wp:positionV>
          <wp:extent cx="1377315" cy="594995"/>
          <wp:effectExtent b="0" l="0" r="0" t="0"/>
          <wp:wrapSquare wrapText="bothSides" distB="0" distT="0" distL="114300" distR="114300"/>
          <wp:docPr descr="Z:\Actitud de Comunicacion\CLIENTES\CLIENTES\123 TINTA\123tinta.es-RGB.png" id="49" name="image1.png"/>
          <a:graphic>
            <a:graphicData uri="http://schemas.openxmlformats.org/drawingml/2006/picture">
              <pic:pic>
                <pic:nvPicPr>
                  <pic:cNvPr descr="Z:\Actitud de Comunicacion\CLIENTES\CLIENTES\123 TINTA\123tinta.es-RGB.png" id="0" name="image1.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91EC2"/>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Mencinsinresolver">
    <w:name w:val="Unresolved Mention"/>
    <w:basedOn w:val="Fuentedeprrafopredeter"/>
    <w:uiPriority w:val="99"/>
    <w:semiHidden w:val="1"/>
    <w:unhideWhenUsed w:val="1"/>
    <w:rsid w:val="005E725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www.123tinta.es/Toner-impresoras-laser-p4016.html" TargetMode="External"/><Relationship Id="rId13" Type="http://schemas.openxmlformats.org/officeDocument/2006/relationships/header" Target="header1.xml"/><Relationship Id="rId12" Type="http://schemas.openxmlformats.org/officeDocument/2006/relationships/hyperlink" Target="mailto:irati.miguel@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123tinta.es/Cartuchos-de-tinta-p1.html"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123tinta.es" TargetMode="External"/><Relationship Id="rId8" Type="http://schemas.openxmlformats.org/officeDocument/2006/relationships/hyperlink" Target="http://123tint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BZe+yClWSTYBOLhKO3tY+z6Q==">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2022-02-04T14:32:00Z</dcterms:created>
  <dc:creator>actitud</dc:creator>
</cp:coreProperties>
</file>