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2A42F" w14:textId="3C8EE68D" w:rsidR="00ED4BEE" w:rsidRDefault="00ED4BEE" w:rsidP="00385334">
      <w:bookmarkStart w:id="0" w:name="_GoBack"/>
      <w:r w:rsidRPr="00181FE9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8681F2D" wp14:editId="2D80DDD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70685" cy="424815"/>
            <wp:effectExtent l="0" t="0" r="5715" b="0"/>
            <wp:wrapTight wrapText="bothSides">
              <wp:wrapPolygon edited="0">
                <wp:start x="0" y="0"/>
                <wp:lineTo x="0" y="20341"/>
                <wp:lineTo x="21428" y="20341"/>
                <wp:lineTo x="214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k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156D2" w14:textId="77777777" w:rsidR="00065F45" w:rsidRDefault="00065F45" w:rsidP="00385334"/>
    <w:p w14:paraId="105EFA5F" w14:textId="77777777" w:rsidR="0020204A" w:rsidRDefault="0020204A" w:rsidP="00D4603E">
      <w:pPr>
        <w:ind w:right="-1"/>
        <w:jc w:val="both"/>
        <w:rPr>
          <w:lang w:val="es-ES_tradnl"/>
        </w:rPr>
      </w:pPr>
    </w:p>
    <w:p w14:paraId="0CD0CF32" w14:textId="77777777" w:rsidR="00D86D99" w:rsidRDefault="00D86D99" w:rsidP="00D4603E">
      <w:pPr>
        <w:ind w:right="-1"/>
        <w:jc w:val="both"/>
        <w:rPr>
          <w:lang w:val="es-ES_tradnl"/>
        </w:rPr>
      </w:pPr>
    </w:p>
    <w:p w14:paraId="3B61B867" w14:textId="006DBBF8" w:rsidR="00D4603E" w:rsidRPr="00D4603E" w:rsidRDefault="00D4603E" w:rsidP="00D4603E">
      <w:pPr>
        <w:ind w:right="-1"/>
        <w:jc w:val="both"/>
        <w:rPr>
          <w:lang w:val="es-ES_tradnl"/>
        </w:rPr>
      </w:pPr>
      <w:r>
        <w:rPr>
          <w:lang w:val="es-ES_tradnl"/>
        </w:rPr>
        <w:t xml:space="preserve">Según </w:t>
      </w:r>
      <w:r w:rsidR="000B4B60">
        <w:rPr>
          <w:lang w:val="es-ES_tradnl"/>
        </w:rPr>
        <w:t xml:space="preserve">la gestora de fondos </w:t>
      </w:r>
      <w:r>
        <w:rPr>
          <w:lang w:val="es-ES_tradnl"/>
        </w:rPr>
        <w:t>SIA Funds</w:t>
      </w:r>
      <w:r w:rsidR="006053FD">
        <w:rPr>
          <w:lang w:val="es-ES_tradnl"/>
        </w:rPr>
        <w:t>,</w:t>
      </w:r>
    </w:p>
    <w:p w14:paraId="7E510A58" w14:textId="28990D49" w:rsidR="00065F45" w:rsidRDefault="00FE751A" w:rsidP="00385334">
      <w:pPr>
        <w:jc w:val="center"/>
        <w:rPr>
          <w:rFonts w:cstheme="minorHAnsi"/>
          <w:b/>
          <w:i/>
          <w:sz w:val="44"/>
          <w:szCs w:val="44"/>
          <w:lang w:val="es-ES_tradnl"/>
        </w:rPr>
      </w:pPr>
      <w:r>
        <w:rPr>
          <w:rFonts w:cstheme="minorHAnsi"/>
          <w:b/>
          <w:sz w:val="44"/>
          <w:szCs w:val="44"/>
          <w:lang w:val="es-ES_tradnl"/>
        </w:rPr>
        <w:t xml:space="preserve">Los mercados </w:t>
      </w:r>
      <w:r w:rsidR="00811F9A">
        <w:rPr>
          <w:rFonts w:cstheme="minorHAnsi"/>
          <w:b/>
          <w:sz w:val="44"/>
          <w:szCs w:val="44"/>
          <w:lang w:val="es-ES_tradnl"/>
        </w:rPr>
        <w:t>están anticipando un ciclo alcista</w:t>
      </w:r>
    </w:p>
    <w:p w14:paraId="4C0E892F" w14:textId="0939E133" w:rsidR="00B76616" w:rsidRPr="00B76616" w:rsidRDefault="007315C2" w:rsidP="00B76616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Se prevé que el PIB mundial en 2021 y 2022 crezca por encima de su nivel teórico potencial</w:t>
      </w:r>
    </w:p>
    <w:p w14:paraId="67697548" w14:textId="26BCF754" w:rsidR="00FE751A" w:rsidRPr="00461D31" w:rsidRDefault="00811F9A" w:rsidP="00EC28C2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Los ROE de 2022 estimados son muy superiores a las medias históricas</w:t>
      </w:r>
    </w:p>
    <w:p w14:paraId="0B1809FF" w14:textId="77777777" w:rsidR="00482D5A" w:rsidRDefault="00482D5A" w:rsidP="000912BF">
      <w:pPr>
        <w:pStyle w:val="Prrafodelista"/>
        <w:ind w:left="0"/>
        <w:jc w:val="both"/>
        <w:rPr>
          <w:rFonts w:ascii="Calibri" w:hAnsi="Calibri" w:cs="Calibri"/>
        </w:rPr>
      </w:pPr>
    </w:p>
    <w:p w14:paraId="775D614E" w14:textId="6F89581C" w:rsidR="003D504B" w:rsidRDefault="00ED4BEE" w:rsidP="00E60274">
      <w:pPr>
        <w:ind w:right="-1"/>
        <w:jc w:val="both"/>
      </w:pPr>
      <w:r w:rsidRPr="00385334">
        <w:rPr>
          <w:rFonts w:cstheme="minorHAnsi"/>
          <w:b/>
        </w:rPr>
        <w:t>Madrid</w:t>
      </w:r>
      <w:r w:rsidR="0020204A" w:rsidRPr="00385334">
        <w:rPr>
          <w:rFonts w:cstheme="minorHAnsi"/>
          <w:b/>
        </w:rPr>
        <w:t>,</w:t>
      </w:r>
      <w:r w:rsidR="0020204A">
        <w:rPr>
          <w:rFonts w:cstheme="minorHAnsi"/>
          <w:b/>
        </w:rPr>
        <w:t xml:space="preserve"> </w:t>
      </w:r>
      <w:r w:rsidR="00CE05C1">
        <w:rPr>
          <w:rFonts w:cstheme="minorHAnsi"/>
          <w:b/>
        </w:rPr>
        <w:t>17</w:t>
      </w:r>
      <w:r w:rsidR="0020204A">
        <w:rPr>
          <w:rFonts w:cstheme="minorHAnsi"/>
          <w:b/>
        </w:rPr>
        <w:t xml:space="preserve"> </w:t>
      </w:r>
      <w:r w:rsidRPr="00385334">
        <w:rPr>
          <w:rFonts w:cstheme="minorHAnsi"/>
          <w:b/>
        </w:rPr>
        <w:t xml:space="preserve">de </w:t>
      </w:r>
      <w:r w:rsidR="00FE751A">
        <w:rPr>
          <w:rFonts w:cstheme="minorHAnsi"/>
          <w:b/>
          <w:lang w:val="es-ES_tradnl"/>
        </w:rPr>
        <w:t>febrero de 2021</w:t>
      </w:r>
      <w:r w:rsidR="00EE1038">
        <w:rPr>
          <w:rFonts w:cstheme="minorHAnsi"/>
          <w:b/>
          <w:lang w:val="es-ES_tradnl"/>
        </w:rPr>
        <w:t xml:space="preserve">.- </w:t>
      </w:r>
      <w:r w:rsidR="003D504B">
        <w:t>Estos</w:t>
      </w:r>
      <w:r w:rsidR="007279A4">
        <w:t xml:space="preserve"> meses de incertidumbre han provocado</w:t>
      </w:r>
      <w:r w:rsidR="006006B7" w:rsidRPr="006006B7">
        <w:t xml:space="preserve"> </w:t>
      </w:r>
      <w:r w:rsidR="007279A4">
        <w:t xml:space="preserve">una gran caída </w:t>
      </w:r>
      <w:r w:rsidR="006006B7" w:rsidRPr="006006B7">
        <w:t xml:space="preserve">en el mercado de valores, </w:t>
      </w:r>
      <w:r w:rsidR="003D504B">
        <w:t xml:space="preserve">y </w:t>
      </w:r>
      <w:r w:rsidR="006006B7" w:rsidRPr="006006B7">
        <w:t>s</w:t>
      </w:r>
      <w:r w:rsidR="006006B7">
        <w:t xml:space="preserve">e </w:t>
      </w:r>
      <w:r w:rsidR="003D504B">
        <w:t>prevé</w:t>
      </w:r>
      <w:r w:rsidR="006006B7">
        <w:t xml:space="preserve"> que, </w:t>
      </w:r>
      <w:r w:rsidR="007279A4">
        <w:t>con e</w:t>
      </w:r>
      <w:r w:rsidR="006006B7">
        <w:t xml:space="preserve">l </w:t>
      </w:r>
      <w:r w:rsidR="002B1CA9">
        <w:t xml:space="preserve">inicio de la vacunación, </w:t>
      </w:r>
      <w:r w:rsidR="006006B7">
        <w:t xml:space="preserve">el </w:t>
      </w:r>
      <w:r w:rsidR="003D504B">
        <w:t>esperado</w:t>
      </w:r>
      <w:r w:rsidR="006006B7">
        <w:t xml:space="preserve"> fin de la pandemia</w:t>
      </w:r>
      <w:r w:rsidR="002B1CA9">
        <w:t xml:space="preserve"> y </w:t>
      </w:r>
      <w:r w:rsidR="003D504B">
        <w:t>la nueva disposición de los políticos a permitir que el Estado estimule la economía</w:t>
      </w:r>
      <w:r w:rsidR="00251E0C">
        <w:t>;</w:t>
      </w:r>
      <w:r w:rsidR="002B1CA9">
        <w:t xml:space="preserve"> </w:t>
      </w:r>
      <w:r w:rsidR="003D504B">
        <w:t>la</w:t>
      </w:r>
      <w:r w:rsidR="006006B7">
        <w:t xml:space="preserve"> recuperación</w:t>
      </w:r>
      <w:r w:rsidR="003D504B">
        <w:t xml:space="preserve"> </w:t>
      </w:r>
      <w:r w:rsidR="00251E0C">
        <w:t xml:space="preserve">económica </w:t>
      </w:r>
      <w:r w:rsidR="003D504B">
        <w:t>se</w:t>
      </w:r>
      <w:r w:rsidR="00251E0C">
        <w:t>rá</w:t>
      </w:r>
      <w:r w:rsidR="003D504B">
        <w:t xml:space="preserve"> </w:t>
      </w:r>
      <w:r w:rsidR="00251E0C">
        <w:t xml:space="preserve">más </w:t>
      </w:r>
      <w:r w:rsidR="003D504B">
        <w:t>rápid</w:t>
      </w:r>
      <w:r w:rsidR="002B1CA9">
        <w:t>a.</w:t>
      </w:r>
    </w:p>
    <w:p w14:paraId="289AE760" w14:textId="7CE8E2C6" w:rsidR="00E60274" w:rsidRDefault="002B1CA9" w:rsidP="00E60274">
      <w:pPr>
        <w:ind w:right="-1"/>
        <w:jc w:val="both"/>
      </w:pPr>
      <w:r>
        <w:t xml:space="preserve">En marzo </w:t>
      </w:r>
      <w:r w:rsidR="00F254F4">
        <w:t xml:space="preserve">del año pasado, </w:t>
      </w:r>
      <w:r>
        <w:t xml:space="preserve">los mercados se estaban </w:t>
      </w:r>
      <w:r w:rsidR="00F254F4">
        <w:t>derrumbando,</w:t>
      </w:r>
      <w:r>
        <w:t xml:space="preserve"> pero se han recuperado con fuerza desde entonces. </w:t>
      </w:r>
      <w:r w:rsidR="00251E0C">
        <w:t xml:space="preserve">En opinión de Marcos Hernández, jefe de inversiones de </w:t>
      </w:r>
      <w:hyperlink r:id="rId7" w:history="1">
        <w:r w:rsidR="00251E0C" w:rsidRPr="00251E0C">
          <w:rPr>
            <w:rStyle w:val="Hipervnculo"/>
          </w:rPr>
          <w:t xml:space="preserve">SIA </w:t>
        </w:r>
        <w:proofErr w:type="spellStart"/>
        <w:r w:rsidR="00251E0C" w:rsidRPr="00251E0C">
          <w:rPr>
            <w:rStyle w:val="Hipervnculo"/>
          </w:rPr>
          <w:t>Funds</w:t>
        </w:r>
        <w:proofErr w:type="spellEnd"/>
      </w:hyperlink>
      <w:r w:rsidR="00251E0C">
        <w:t xml:space="preserve">, </w:t>
      </w:r>
      <w:r w:rsidR="006422D3">
        <w:t>“</w:t>
      </w:r>
      <w:r w:rsidR="00251E0C">
        <w:t xml:space="preserve">nuestro escenario base de una recesión de corta duración se está materializando y las bolsas y nuestro fondo </w:t>
      </w:r>
      <w:proofErr w:type="spellStart"/>
      <w:r w:rsidR="00251E0C">
        <w:t>Classic</w:t>
      </w:r>
      <w:proofErr w:type="spellEnd"/>
      <w:r w:rsidR="00251E0C">
        <w:t xml:space="preserve"> han tenido una </w:t>
      </w:r>
      <w:r>
        <w:t>performance acorde con este año de recesión a corto plazo, llegando a mínimos en marzo</w:t>
      </w:r>
      <w:r w:rsidR="006422D3">
        <w:t xml:space="preserve"> </w:t>
      </w:r>
      <w:r w:rsidR="00251E0C">
        <w:t>del año pasado</w:t>
      </w:r>
      <w:r w:rsidR="006B2690">
        <w:t xml:space="preserve"> </w:t>
      </w:r>
      <w:r>
        <w:t>(EUR 250 por acción)</w:t>
      </w:r>
      <w:r w:rsidR="006422D3">
        <w:t xml:space="preserve">, cerrando el año </w:t>
      </w:r>
      <w:r w:rsidR="00251E0C">
        <w:t>a</w:t>
      </w:r>
      <w:r w:rsidR="006422D3">
        <w:t xml:space="preserve"> EUR 40</w:t>
      </w:r>
      <w:r w:rsidR="00251E0C">
        <w:t>8</w:t>
      </w:r>
      <w:r w:rsidR="006422D3">
        <w:t xml:space="preserve"> y alcanzando </w:t>
      </w:r>
      <w:r w:rsidR="00145185">
        <w:t>en</w:t>
      </w:r>
      <w:r>
        <w:t xml:space="preserve"> enero de 2021 </w:t>
      </w:r>
      <w:r w:rsidR="006422D3">
        <w:t xml:space="preserve">los </w:t>
      </w:r>
      <w:r>
        <w:t>EUR 430</w:t>
      </w:r>
      <w:r w:rsidR="006422D3">
        <w:t xml:space="preserve"> por acción”</w:t>
      </w:r>
      <w:r w:rsidR="00727078">
        <w:t xml:space="preserve">. </w:t>
      </w:r>
    </w:p>
    <w:p w14:paraId="6F4B8F2C" w14:textId="3CB5CE3B" w:rsidR="00727078" w:rsidRDefault="00727078" w:rsidP="00E60274">
      <w:pPr>
        <w:ind w:right="-1"/>
        <w:jc w:val="both"/>
      </w:pPr>
      <w:r>
        <w:t>“</w:t>
      </w:r>
      <w:r w:rsidR="00EF516A">
        <w:t xml:space="preserve">Con estos datos podemos considerar que </w:t>
      </w:r>
      <w:r>
        <w:t xml:space="preserve">hemos cumplido con la primera premisa de la inversión: </w:t>
      </w:r>
      <w:r w:rsidRPr="006B2690">
        <w:rPr>
          <w:b/>
        </w:rPr>
        <w:t>proteger el capital,</w:t>
      </w:r>
      <w:r>
        <w:t xml:space="preserve"> ya que la cartera tiene calidad, por lo que no hemos cambiado ningún eje </w:t>
      </w:r>
      <w:r w:rsidR="00EF516A">
        <w:t xml:space="preserve">de futura creación de valor de nuestro fondo </w:t>
      </w:r>
      <w:proofErr w:type="spellStart"/>
      <w:r>
        <w:t>Classic</w:t>
      </w:r>
      <w:proofErr w:type="spellEnd"/>
      <w:r w:rsidR="00EF516A">
        <w:t>”, señaló Hernández.</w:t>
      </w:r>
    </w:p>
    <w:p w14:paraId="12E0FB5D" w14:textId="422271C0" w:rsidR="00F254F4" w:rsidRDefault="00F254F4" w:rsidP="00F254F4">
      <w:pPr>
        <w:ind w:right="-1"/>
        <w:jc w:val="both"/>
      </w:pPr>
      <w:r>
        <w:t xml:space="preserve">El </w:t>
      </w:r>
      <w:proofErr w:type="spellStart"/>
      <w:r>
        <w:t>Classic</w:t>
      </w:r>
      <w:proofErr w:type="spellEnd"/>
      <w:r>
        <w:t xml:space="preserve"> ha hecho un 8% anual desde que empezó en 2002, 11% anual desde el inicio del nuevo ciclo post-GFC</w:t>
      </w:r>
      <w:r w:rsidR="00EF516A">
        <w:t xml:space="preserve"> (2009)</w:t>
      </w:r>
      <w:r>
        <w:t xml:space="preserve">, un 5% a 10 años y un 7% a 5 años. </w:t>
      </w:r>
      <w:r w:rsidR="00EF516A">
        <w:t>Aun</w:t>
      </w:r>
      <w:r>
        <w:t xml:space="preserve"> así, toca recuperar por dos factores endógenos que han estado dificultando los últimos 5 años: </w:t>
      </w:r>
      <w:r w:rsidRPr="006B2690">
        <w:rPr>
          <w:b/>
        </w:rPr>
        <w:t xml:space="preserve">el </w:t>
      </w:r>
      <w:proofErr w:type="spellStart"/>
      <w:r w:rsidRPr="006B2690">
        <w:rPr>
          <w:b/>
          <w:i/>
        </w:rPr>
        <w:t>value</w:t>
      </w:r>
      <w:proofErr w:type="spellEnd"/>
      <w:r w:rsidRPr="006B2690">
        <w:rPr>
          <w:b/>
        </w:rPr>
        <w:t xml:space="preserve"> y las materias primas</w:t>
      </w:r>
      <w:r>
        <w:t xml:space="preserve">, </w:t>
      </w:r>
      <w:r w:rsidR="00EF516A">
        <w:t xml:space="preserve">dos de los ejes principales del fondo </w:t>
      </w:r>
      <w:r>
        <w:t xml:space="preserve">y un factor externo que ha sido la </w:t>
      </w:r>
      <w:r w:rsidRPr="006B2690">
        <w:rPr>
          <w:b/>
        </w:rPr>
        <w:t>revalorización de las empresas tecnológicas</w:t>
      </w:r>
      <w:r>
        <w:t xml:space="preserve">, donde el </w:t>
      </w:r>
      <w:proofErr w:type="spellStart"/>
      <w:r>
        <w:t>Classic</w:t>
      </w:r>
      <w:proofErr w:type="spellEnd"/>
      <w:r>
        <w:t xml:space="preserve"> ha tenido poca representación.</w:t>
      </w:r>
    </w:p>
    <w:p w14:paraId="6FB3CDC0" w14:textId="77777777" w:rsidR="006B2690" w:rsidRDefault="006422D3" w:rsidP="00461CCC">
      <w:pPr>
        <w:ind w:right="-1"/>
        <w:jc w:val="both"/>
      </w:pPr>
      <w:r>
        <w:t>Hernández afirma que “l</w:t>
      </w:r>
      <w:r w:rsidRPr="006B2690">
        <w:t xml:space="preserve">a TIR esperada del </w:t>
      </w:r>
      <w:proofErr w:type="spellStart"/>
      <w:r w:rsidRPr="006B2690">
        <w:t>Classic</w:t>
      </w:r>
      <w:proofErr w:type="spellEnd"/>
      <w:r w:rsidRPr="006B2690">
        <w:t xml:space="preserve"> es actualmente del 14% y el valor </w:t>
      </w:r>
      <w:r w:rsidRPr="00E12831">
        <w:t>intrínseco</w:t>
      </w:r>
      <w:r w:rsidRPr="006B2690">
        <w:t xml:space="preserve"> se mantiene algo por encima de los EUR 600 por participación.</w:t>
      </w:r>
      <w:r>
        <w:rPr>
          <w:b/>
        </w:rPr>
        <w:t xml:space="preserve"> </w:t>
      </w:r>
      <w:r>
        <w:t xml:space="preserve">Gracias a la cartera concentrada de unas 30 empresas con diversificación por negocio y geográfica y un </w:t>
      </w:r>
      <w:r w:rsidRPr="006B2690">
        <w:rPr>
          <w:b/>
        </w:rPr>
        <w:t>riesgo fundamental/industrial bajo</w:t>
      </w:r>
      <w:r>
        <w:t>, como se ha podido comprobar en esta crisis sanitaria, la mayoría de estas empresas ya han vuelto o están volviendo a la normalidad.”</w:t>
      </w:r>
    </w:p>
    <w:p w14:paraId="29F004ED" w14:textId="0D50CC21" w:rsidR="004A50E3" w:rsidRPr="004A50E3" w:rsidRDefault="004A50E3" w:rsidP="00461CCC">
      <w:pPr>
        <w:ind w:right="-1"/>
        <w:jc w:val="both"/>
        <w:rPr>
          <w:b/>
          <w:bCs/>
        </w:rPr>
      </w:pPr>
      <w:r>
        <w:rPr>
          <w:b/>
          <w:bCs/>
        </w:rPr>
        <w:t>2020 en números</w:t>
      </w:r>
    </w:p>
    <w:p w14:paraId="79DA1A16" w14:textId="3CE960CD" w:rsidR="009F7D86" w:rsidRDefault="009F7D86" w:rsidP="00B50D5C">
      <w:pPr>
        <w:ind w:right="-1"/>
        <w:jc w:val="both"/>
      </w:pPr>
      <w:r>
        <w:t xml:space="preserve">En cuanto a los valores más positivos </w:t>
      </w:r>
      <w:r w:rsidR="00DC34F7">
        <w:t>cabe destacar</w:t>
      </w:r>
      <w:r>
        <w:t xml:space="preserve"> </w:t>
      </w:r>
      <w:proofErr w:type="spellStart"/>
      <w:r>
        <w:t>MetsoOutotec</w:t>
      </w:r>
      <w:proofErr w:type="spellEnd"/>
      <w:r>
        <w:t xml:space="preserve"> (+65%)</w:t>
      </w:r>
      <w:r w:rsidR="00DC34F7">
        <w:t>, Pandora (+137%), ASML (+52%), Apple (+58%) y todas las empresas de cobre con una revalorización media del 60%.</w:t>
      </w:r>
    </w:p>
    <w:p w14:paraId="33CC3A67" w14:textId="0D6BFA8E" w:rsidR="00DC34F7" w:rsidRDefault="00DC34F7" w:rsidP="00B50D5C">
      <w:pPr>
        <w:ind w:right="-1"/>
        <w:jc w:val="both"/>
      </w:pPr>
      <w:r>
        <w:lastRenderedPageBreak/>
        <w:t>Por el lado negativo y con caídas superiores al 10%</w:t>
      </w:r>
      <w:r w:rsidR="00145185">
        <w:t>,</w:t>
      </w:r>
      <w:r>
        <w:t xml:space="preserve"> están </w:t>
      </w:r>
      <w:proofErr w:type="spellStart"/>
      <w:r>
        <w:t>Devro</w:t>
      </w:r>
      <w:proofErr w:type="spellEnd"/>
      <w:r>
        <w:t xml:space="preserve"> (-14%), </w:t>
      </w:r>
      <w:proofErr w:type="spellStart"/>
      <w:r>
        <w:t>Grieg</w:t>
      </w:r>
      <w:proofErr w:type="spellEnd"/>
      <w:r>
        <w:t xml:space="preserve"> </w:t>
      </w:r>
      <w:proofErr w:type="spellStart"/>
      <w:r>
        <w:t>Seafood</w:t>
      </w:r>
      <w:proofErr w:type="spellEnd"/>
      <w:r>
        <w:t xml:space="preserve"> (-40%). ING (-28%) o las empresas de energía con una caída media del 60%.</w:t>
      </w:r>
    </w:p>
    <w:p w14:paraId="0277E3B2" w14:textId="04A702A0" w:rsidR="00EF516A" w:rsidRDefault="00EF516A" w:rsidP="00B50D5C">
      <w:pPr>
        <w:ind w:right="-1"/>
        <w:jc w:val="both"/>
      </w:pPr>
      <w:r>
        <w:t>“</w:t>
      </w:r>
      <w:r w:rsidRPr="006B2690">
        <w:rPr>
          <w:b/>
        </w:rPr>
        <w:t>Visto la fuerte bifurcación de la performance en 2020, a lo largo del año hemos ido reduciendo el peso de minas y tecnología y subiendo el de energía, financieras y salmones</w:t>
      </w:r>
      <w:r>
        <w:t xml:space="preserve">”, asegura Marcos </w:t>
      </w:r>
      <w:r w:rsidR="00920A09">
        <w:t>Hernández</w:t>
      </w:r>
      <w:r>
        <w:t>.</w:t>
      </w:r>
    </w:p>
    <w:p w14:paraId="0CAFCA97" w14:textId="77777777" w:rsidR="00F254F4" w:rsidRPr="00DC34F7" w:rsidRDefault="00F254F4" w:rsidP="00F254F4">
      <w:pPr>
        <w:ind w:right="-1"/>
        <w:jc w:val="both"/>
        <w:rPr>
          <w:b/>
        </w:rPr>
      </w:pPr>
      <w:r>
        <w:rPr>
          <w:b/>
        </w:rPr>
        <w:t>Se espera una recuperación económica en 2021</w:t>
      </w:r>
    </w:p>
    <w:p w14:paraId="4EFBB296" w14:textId="6A775BB2" w:rsidR="00F254F4" w:rsidRDefault="00920A09" w:rsidP="00F254F4">
      <w:pPr>
        <w:ind w:right="-1"/>
        <w:jc w:val="both"/>
      </w:pPr>
      <w:r>
        <w:t xml:space="preserve">En opinión de los responsables de SIA </w:t>
      </w:r>
      <w:proofErr w:type="spellStart"/>
      <w:r>
        <w:t>Funds</w:t>
      </w:r>
      <w:proofErr w:type="spellEnd"/>
      <w:r>
        <w:t>, h</w:t>
      </w:r>
      <w:r w:rsidR="00F254F4">
        <w:t xml:space="preserve">ay tres factores por los que la compañía se siente optimista: la </w:t>
      </w:r>
      <w:r w:rsidR="00F254F4" w:rsidRPr="006B2690">
        <w:rPr>
          <w:b/>
        </w:rPr>
        <w:t>corta duración de la crisis</w:t>
      </w:r>
      <w:r w:rsidR="00F254F4">
        <w:t xml:space="preserve"> y las medidas de </w:t>
      </w:r>
      <w:r w:rsidR="00F254F4" w:rsidRPr="006B2690">
        <w:rPr>
          <w:b/>
        </w:rPr>
        <w:t>apoyo de los Gobiernos</w:t>
      </w:r>
      <w:r w:rsidR="00F254F4">
        <w:t xml:space="preserve"> </w:t>
      </w:r>
      <w:r w:rsidR="00EF516A">
        <w:t xml:space="preserve">que </w:t>
      </w:r>
      <w:r w:rsidR="00F254F4">
        <w:t xml:space="preserve">han evitado daños permanentes en las economías; </w:t>
      </w:r>
      <w:r w:rsidR="00F254F4" w:rsidRPr="006B2690">
        <w:rPr>
          <w:b/>
        </w:rPr>
        <w:t>China ha vuelto a los niveles pre-</w:t>
      </w:r>
      <w:proofErr w:type="spellStart"/>
      <w:r w:rsidR="00F254F4" w:rsidRPr="006B2690">
        <w:rPr>
          <w:b/>
        </w:rPr>
        <w:t>covid</w:t>
      </w:r>
      <w:proofErr w:type="spellEnd"/>
      <w:r w:rsidR="00F254F4">
        <w:t xml:space="preserve"> y el </w:t>
      </w:r>
      <w:r w:rsidR="00F254F4" w:rsidRPr="006B2690">
        <w:rPr>
          <w:b/>
        </w:rPr>
        <w:t>apoyo de las políticas monetarias, fiscales y posiblemente de inversión pública en infraestructuras/renovables acelerarán la recuperación.</w:t>
      </w:r>
    </w:p>
    <w:p w14:paraId="1C057ADB" w14:textId="038BE009" w:rsidR="003F68CA" w:rsidRDefault="00920A09" w:rsidP="00A12441">
      <w:pPr>
        <w:ind w:right="-1"/>
        <w:jc w:val="both"/>
      </w:pPr>
      <w:r>
        <w:t>“Por nuestra parte, s</w:t>
      </w:r>
      <w:r w:rsidR="00DC34F7">
        <w:t xml:space="preserve">eguimos esperando una recuperación acelerada tras una corta recesión. La mayoría de indicadores económicos señalan que dejamos atrás el mínimo del ciclo </w:t>
      </w:r>
      <w:r>
        <w:t xml:space="preserve">en el </w:t>
      </w:r>
      <w:r w:rsidR="00DC34F7">
        <w:t>Q2</w:t>
      </w:r>
      <w:r w:rsidR="00B103E6">
        <w:t xml:space="preserve"> </w:t>
      </w:r>
      <w:r w:rsidR="00DC34F7">
        <w:t>20 y que la economía se dirige hacia una recuperación global</w:t>
      </w:r>
      <w:r>
        <w:t>, posiblemente coordinada</w:t>
      </w:r>
      <w:r w:rsidR="00FE751A">
        <w:t>”</w:t>
      </w:r>
      <w:r w:rsidR="00DC34F7">
        <w:t>.</w:t>
      </w:r>
    </w:p>
    <w:p w14:paraId="6EB7E8AC" w14:textId="26AB0C21" w:rsidR="008A7A68" w:rsidRDefault="008A7A68" w:rsidP="00A12441">
      <w:pPr>
        <w:ind w:right="-1"/>
        <w:jc w:val="both"/>
        <w:rPr>
          <w:b/>
          <w:bCs/>
        </w:rPr>
      </w:pPr>
      <w:r>
        <w:rPr>
          <w:b/>
          <w:bCs/>
        </w:rPr>
        <w:t>¿Cómo se presentan los próximos años?</w:t>
      </w:r>
    </w:p>
    <w:p w14:paraId="3F779518" w14:textId="454C24FE" w:rsidR="008A7A68" w:rsidRDefault="008A7A68" w:rsidP="00A12441">
      <w:pPr>
        <w:ind w:right="-1"/>
        <w:jc w:val="both"/>
      </w:pPr>
      <w:r>
        <w:t>Se prevé que el PIB mundial en 2021 y 2022 crezca por encima de su nivel teórico potencial, en un momento de crecimiento de la mayoría de las economías mundiales.</w:t>
      </w:r>
    </w:p>
    <w:p w14:paraId="07467C87" w14:textId="4FB76943" w:rsidR="002726AE" w:rsidRDefault="008A7A68" w:rsidP="00A12441">
      <w:pPr>
        <w:ind w:right="-1"/>
        <w:jc w:val="both"/>
      </w:pPr>
      <w:r>
        <w:t>Tras la recuperación de las bolsas en 2020, las valoraciones se han situado en niveles altos respecto a 2021 y los mercados están anticipando un ciclo alcista asumiendo un 2022 más normalizado y con ROE estimados muy superiores a las medias.</w:t>
      </w:r>
    </w:p>
    <w:p w14:paraId="259A5948" w14:textId="6A06B986" w:rsidR="00E12831" w:rsidRDefault="00E12831" w:rsidP="00A12441">
      <w:pPr>
        <w:ind w:right="-1"/>
        <w:jc w:val="both"/>
      </w:pPr>
      <w:r>
        <w:t xml:space="preserve">Existen riesgos potenciales de cara a los próximos años como los desequilibrios en China, la burbuja del mercado de bonos y las </w:t>
      </w:r>
      <w:r w:rsidR="00FD50A7">
        <w:t>valoraciones</w:t>
      </w:r>
      <w:r>
        <w:t xml:space="preserve"> de algunos activos que son muy altas y deberían normalizarse.</w:t>
      </w:r>
    </w:p>
    <w:p w14:paraId="6A42DD5B" w14:textId="67AED471" w:rsidR="00E12831" w:rsidRDefault="00E12831" w:rsidP="00A12441">
      <w:pPr>
        <w:ind w:right="-1"/>
        <w:jc w:val="both"/>
      </w:pPr>
      <w:r>
        <w:t>“</w:t>
      </w:r>
      <w:r w:rsidR="006B2690">
        <w:t>En nuestra opinión, l</w:t>
      </w:r>
      <w:r>
        <w:t xml:space="preserve">a crisis </w:t>
      </w:r>
      <w:r w:rsidR="006B2690">
        <w:t xml:space="preserve">de la </w:t>
      </w:r>
      <w:r>
        <w:t>Covid19 no es el principio de un nuevo ciclo sino un evento end</w:t>
      </w:r>
      <w:r w:rsidR="00FD50A7">
        <w:t xml:space="preserve">ógeno de duración limitada. </w:t>
      </w:r>
      <w:r w:rsidR="006B2690">
        <w:t>Tenemos por delante un</w:t>
      </w:r>
      <w:r>
        <w:t xml:space="preserve"> crecimiento coordinado global los </w:t>
      </w:r>
      <w:r w:rsidR="006B2690">
        <w:t xml:space="preserve">próximos </w:t>
      </w:r>
      <w:r>
        <w:t xml:space="preserve">2-3 años siguientes y una mayor </w:t>
      </w:r>
      <w:r w:rsidR="00FD50A7">
        <w:t>inflación</w:t>
      </w:r>
      <w:r>
        <w:t xml:space="preserve"> a medio plazo. En este </w:t>
      </w:r>
      <w:r w:rsidR="00FD50A7">
        <w:t>contexto</w:t>
      </w:r>
      <w:r>
        <w:t xml:space="preserve">, dos de los factores </w:t>
      </w:r>
      <w:r w:rsidR="00FD50A7">
        <w:t>bursátiles</w:t>
      </w:r>
      <w:r>
        <w:t xml:space="preserve"> de mayor progresión suelen ser las </w:t>
      </w:r>
      <w:r w:rsidR="00FD50A7" w:rsidRPr="006B2690">
        <w:rPr>
          <w:b/>
        </w:rPr>
        <w:t>materias</w:t>
      </w:r>
      <w:r w:rsidRPr="006B2690">
        <w:rPr>
          <w:b/>
        </w:rPr>
        <w:t xml:space="preserve"> primas y el </w:t>
      </w:r>
      <w:proofErr w:type="spellStart"/>
      <w:r w:rsidRPr="006B2690">
        <w:rPr>
          <w:b/>
          <w:i/>
        </w:rPr>
        <w:t>value</w:t>
      </w:r>
      <w:proofErr w:type="spellEnd"/>
      <w:r w:rsidRPr="006B2690">
        <w:rPr>
          <w:b/>
        </w:rPr>
        <w:t>,</w:t>
      </w:r>
      <w:r>
        <w:t xml:space="preserve"> nuestros</w:t>
      </w:r>
      <w:r w:rsidR="00FD50A7">
        <w:t xml:space="preserve"> principales</w:t>
      </w:r>
      <w:r>
        <w:t xml:space="preserve"> ejes de inversión”, afirma el jefe de inversiones de SIA </w:t>
      </w:r>
      <w:proofErr w:type="spellStart"/>
      <w:r>
        <w:t>Funds</w:t>
      </w:r>
      <w:proofErr w:type="spellEnd"/>
      <w:r>
        <w:t>.</w:t>
      </w:r>
    </w:p>
    <w:p w14:paraId="3918ED56" w14:textId="461D82DF" w:rsidR="00811F9A" w:rsidRPr="003F68CA" w:rsidRDefault="00811F9A" w:rsidP="00A12441">
      <w:pPr>
        <w:ind w:right="-1"/>
        <w:jc w:val="both"/>
      </w:pPr>
      <w:r>
        <w:t xml:space="preserve">Por todas estas razones, desde la </w:t>
      </w:r>
      <w:r w:rsidRPr="00ED4BEE">
        <w:rPr>
          <w:rFonts w:cstheme="minorHAnsi"/>
          <w:lang w:val="es-ES_tradnl"/>
        </w:rPr>
        <w:t xml:space="preserve">compañía gestora de fondos </w:t>
      </w:r>
      <w:r>
        <w:rPr>
          <w:rFonts w:cstheme="minorHAnsi"/>
          <w:lang w:val="es-ES_tradnl"/>
        </w:rPr>
        <w:t xml:space="preserve">de filosofía </w:t>
      </w:r>
      <w:proofErr w:type="spellStart"/>
      <w:r>
        <w:rPr>
          <w:rFonts w:cstheme="minorHAnsi"/>
          <w:lang w:val="es-ES_tradnl"/>
        </w:rPr>
        <w:t>v</w:t>
      </w:r>
      <w:r w:rsidRPr="00ED4BEE">
        <w:rPr>
          <w:rFonts w:cstheme="minorHAnsi"/>
          <w:lang w:val="es-ES_tradnl"/>
        </w:rPr>
        <w:t>alue</w:t>
      </w:r>
      <w:proofErr w:type="spellEnd"/>
      <w:r>
        <w:rPr>
          <w:rFonts w:cstheme="minorHAnsi"/>
          <w:lang w:val="es-ES_tradnl"/>
        </w:rPr>
        <w:t>, se considera que, tras la recuperación de las bolsas en 2020, las valoraciones se han situado en niveles altos respecto a este año, aunque los mercados están anticipando un ciclo alcista y asumen un 2022 más normalizado. En lo que respecta a las previsiones del año que viene, tanto por sectores como geográficamente, los ROE de 2022 estimados son muy superiores a las medias históricas.</w:t>
      </w:r>
    </w:p>
    <w:p w14:paraId="3903AA64" w14:textId="599F0997" w:rsidR="00AE7F95" w:rsidRDefault="00AE7F95" w:rsidP="00A31295">
      <w:pPr>
        <w:pStyle w:val="xmsonormal"/>
        <w:jc w:val="both"/>
        <w:rPr>
          <w:lang w:eastAsia="en-US"/>
        </w:rPr>
      </w:pPr>
    </w:p>
    <w:p w14:paraId="74E33C6F" w14:textId="77777777" w:rsidR="00ED4BEE" w:rsidRPr="00385334" w:rsidRDefault="00ED4BEE" w:rsidP="006D6186">
      <w:pPr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</w:pP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Sobre </w:t>
      </w:r>
      <w:r w:rsidR="00646683"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>SIA</w:t>
      </w: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 </w:t>
      </w:r>
    </w:p>
    <w:p w14:paraId="4C9261DD" w14:textId="0D2BA8ED" w:rsidR="00646683" w:rsidRPr="00385334" w:rsidRDefault="00CE05C1" w:rsidP="006D6186">
      <w:pPr>
        <w:ind w:right="-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  <w:hyperlink r:id="rId8" w:history="1">
        <w:r w:rsidR="00646683" w:rsidRPr="00385334">
          <w:rPr>
            <w:rFonts w:ascii="Calibri" w:hAnsi="Calibri" w:cs="Calibri"/>
            <w:color w:val="000000"/>
            <w:sz w:val="18"/>
            <w:szCs w:val="18"/>
          </w:rPr>
          <w:t>SIA</w:t>
        </w:r>
      </w:hyperlink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, gestora de fondos suiza, con filosofía </w:t>
      </w:r>
      <w:r w:rsidR="00663483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>,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basa su enfoque en la búsqueda de buenos negocios/empresas, que generan rentas crecientes a largo plazo, y que cotizan con descuento. Para ello resulta clave “estimar” cuáles serán los beneficios futuros del activo, calcular su valor intrínseco, y aprovechar la volatilidad de los precios en Bolsa para comprar barato.</w:t>
      </w:r>
      <w:r w:rsidR="008260CE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Su principal objetivo consiste en proteger el capital invertido y obtener un retorno del 10-12% anual, mediante la búsqueda de empresas sólidas en las que puedan invertir a largo plazo a un precio de entrada atractivo. Actualmente, la gestora de activos </w:t>
      </w:r>
      <w:r w:rsidR="008260CE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cuenta con tres fondos: Classic, Natural Resources y Stability, con algo más de </w:t>
      </w:r>
      <w:r w:rsidR="00935DBD">
        <w:rPr>
          <w:rFonts w:ascii="Calibri" w:hAnsi="Calibri" w:cs="Calibri"/>
          <w:color w:val="000000"/>
          <w:sz w:val="18"/>
          <w:szCs w:val="18"/>
          <w:lang w:val="es-ES_tradnl"/>
        </w:rPr>
        <w:t>2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00 millones de euros bajo gestión. </w:t>
      </w:r>
    </w:p>
    <w:p w14:paraId="26C138B9" w14:textId="77777777" w:rsidR="00646683" w:rsidRDefault="00646683" w:rsidP="00EB235F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p w14:paraId="5DA9D816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b/>
          <w:i/>
          <w:sz w:val="20"/>
          <w:szCs w:val="20"/>
          <w:u w:val="single"/>
        </w:rPr>
        <w:t>CONTACTO SIA</w:t>
      </w:r>
    </w:p>
    <w:p w14:paraId="57D3BDC0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t xml:space="preserve">Actitud de Comunicación </w:t>
      </w:r>
    </w:p>
    <w:p w14:paraId="71234EF5" w14:textId="24F43092" w:rsidR="00ED4BEE" w:rsidRPr="00EB235F" w:rsidRDefault="006006B7" w:rsidP="00EB235F">
      <w:pPr>
        <w:jc w:val="both"/>
        <w:rPr>
          <w:rStyle w:val="Hipervnculo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Nuria Lilao</w:t>
      </w:r>
      <w:r w:rsidR="00ED4BEE" w:rsidRPr="00EB235F">
        <w:rPr>
          <w:rFonts w:cstheme="minorHAnsi"/>
          <w:sz w:val="20"/>
          <w:szCs w:val="20"/>
        </w:rPr>
        <w:t xml:space="preserve"> / </w:t>
      </w:r>
      <w:hyperlink r:id="rId9" w:history="1">
        <w:r w:rsidRPr="00DE0256">
          <w:rPr>
            <w:rStyle w:val="Hipervnculo"/>
            <w:rFonts w:cstheme="minorHAnsi"/>
            <w:sz w:val="20"/>
            <w:szCs w:val="20"/>
          </w:rPr>
          <w:t>nuria.lilao@actitud.es</w:t>
        </w:r>
      </w:hyperlink>
    </w:p>
    <w:p w14:paraId="1D621FBC" w14:textId="2BD7B884" w:rsidR="00ED4BEE" w:rsidRDefault="00ED4BEE" w:rsidP="00EB235F">
      <w:pPr>
        <w:jc w:val="both"/>
      </w:pPr>
      <w:r w:rsidRPr="00EB235F">
        <w:rPr>
          <w:rFonts w:cstheme="minorHAnsi"/>
          <w:sz w:val="20"/>
          <w:szCs w:val="20"/>
        </w:rPr>
        <w:t>Teléfono: 913 022 860</w:t>
      </w:r>
      <w:bookmarkEnd w:id="0"/>
    </w:p>
    <w:sectPr w:rsidR="00ED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857"/>
    <w:multiLevelType w:val="hybridMultilevel"/>
    <w:tmpl w:val="5C4ADF5A"/>
    <w:lvl w:ilvl="0" w:tplc="075EE3E4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1A0D40E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3C0242A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34443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94A1B98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E70B0C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968A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BC4C1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E763AE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85970DA"/>
    <w:multiLevelType w:val="hybridMultilevel"/>
    <w:tmpl w:val="7A128920"/>
    <w:lvl w:ilvl="0" w:tplc="08BC8628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C367568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76411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3483D9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9B41614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3F4C0B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8C84B6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B94AC7A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BCE2DEA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101D4F49"/>
    <w:multiLevelType w:val="multilevel"/>
    <w:tmpl w:val="EC32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F539A"/>
    <w:multiLevelType w:val="hybridMultilevel"/>
    <w:tmpl w:val="F7A07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02254"/>
    <w:multiLevelType w:val="hybridMultilevel"/>
    <w:tmpl w:val="570A7CE6"/>
    <w:lvl w:ilvl="0" w:tplc="E7E260BC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536B5A6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F0169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B44A6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79887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752581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9201E7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112576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5427AC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2B2D05CB"/>
    <w:multiLevelType w:val="hybridMultilevel"/>
    <w:tmpl w:val="FCAE3A40"/>
    <w:lvl w:ilvl="0" w:tplc="27F42A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45A4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3E577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0660F4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56606A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38052E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480614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BC0E80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7C1EC0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2B4D6A99"/>
    <w:multiLevelType w:val="hybridMultilevel"/>
    <w:tmpl w:val="32BCD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933F1"/>
    <w:multiLevelType w:val="hybridMultilevel"/>
    <w:tmpl w:val="E1366754"/>
    <w:lvl w:ilvl="0" w:tplc="9AD434AE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749F08"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E38F0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EB6F98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3B0D40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A962AF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B807E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B16A04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EA2BD4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57A80136"/>
    <w:multiLevelType w:val="hybridMultilevel"/>
    <w:tmpl w:val="51B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119A5"/>
    <w:multiLevelType w:val="hybridMultilevel"/>
    <w:tmpl w:val="5B56647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D81387C"/>
    <w:multiLevelType w:val="hybridMultilevel"/>
    <w:tmpl w:val="41D6076C"/>
    <w:lvl w:ilvl="0" w:tplc="325E9C6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C887056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E4218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82CE3E6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37EDE46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4CC74C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4BCF17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0026F0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A8C95B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719A6C7D"/>
    <w:multiLevelType w:val="hybridMultilevel"/>
    <w:tmpl w:val="72D619C2"/>
    <w:lvl w:ilvl="0" w:tplc="7E1EE7B6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9A7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B5E7FE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1A9D7C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5EACD3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658E6E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F606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9687F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4E2C35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46175C4"/>
    <w:multiLevelType w:val="hybridMultilevel"/>
    <w:tmpl w:val="3D6E1CA6"/>
    <w:lvl w:ilvl="0" w:tplc="6CC63E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6F6B338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C9612A4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7AC4F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ADC591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B866530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7AF2D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5EA1E8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2EAF3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78244D80"/>
    <w:multiLevelType w:val="hybridMultilevel"/>
    <w:tmpl w:val="D40EA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04FDE"/>
    <w:multiLevelType w:val="multilevel"/>
    <w:tmpl w:val="69A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B258E"/>
    <w:multiLevelType w:val="hybridMultilevel"/>
    <w:tmpl w:val="F7DA12A8"/>
    <w:lvl w:ilvl="0" w:tplc="1624E4E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13A9E4C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EE54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30250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FE4CF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B988FD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1E6B290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DABEB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080DE4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BC44F43"/>
    <w:multiLevelType w:val="hybridMultilevel"/>
    <w:tmpl w:val="FB9AF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358F0"/>
    <w:multiLevelType w:val="hybridMultilevel"/>
    <w:tmpl w:val="DCB24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EE"/>
    <w:rsid w:val="00025ABE"/>
    <w:rsid w:val="00031972"/>
    <w:rsid w:val="000520D6"/>
    <w:rsid w:val="00052442"/>
    <w:rsid w:val="00055873"/>
    <w:rsid w:val="00065A4B"/>
    <w:rsid w:val="00065F45"/>
    <w:rsid w:val="000912BF"/>
    <w:rsid w:val="00094BAC"/>
    <w:rsid w:val="000B4904"/>
    <w:rsid w:val="000B4B60"/>
    <w:rsid w:val="000C5101"/>
    <w:rsid w:val="000E70C3"/>
    <w:rsid w:val="00134894"/>
    <w:rsid w:val="00145185"/>
    <w:rsid w:val="001D7095"/>
    <w:rsid w:val="0020204A"/>
    <w:rsid w:val="002349F7"/>
    <w:rsid w:val="002362F2"/>
    <w:rsid w:val="00251E0C"/>
    <w:rsid w:val="00261647"/>
    <w:rsid w:val="002726AE"/>
    <w:rsid w:val="00297581"/>
    <w:rsid w:val="002A58AB"/>
    <w:rsid w:val="002A684D"/>
    <w:rsid w:val="002B1CA9"/>
    <w:rsid w:val="002B40D0"/>
    <w:rsid w:val="002D1B5B"/>
    <w:rsid w:val="002D65E5"/>
    <w:rsid w:val="00385334"/>
    <w:rsid w:val="00391821"/>
    <w:rsid w:val="00392430"/>
    <w:rsid w:val="003B4E36"/>
    <w:rsid w:val="003D504B"/>
    <w:rsid w:val="003E4D4D"/>
    <w:rsid w:val="003F68CA"/>
    <w:rsid w:val="003F7075"/>
    <w:rsid w:val="0040151B"/>
    <w:rsid w:val="004471FC"/>
    <w:rsid w:val="00450220"/>
    <w:rsid w:val="00461CCC"/>
    <w:rsid w:val="00461D31"/>
    <w:rsid w:val="00474F8E"/>
    <w:rsid w:val="00482D5A"/>
    <w:rsid w:val="004A50E3"/>
    <w:rsid w:val="004C1843"/>
    <w:rsid w:val="005206D3"/>
    <w:rsid w:val="00566963"/>
    <w:rsid w:val="00571ADC"/>
    <w:rsid w:val="0058054B"/>
    <w:rsid w:val="0058059F"/>
    <w:rsid w:val="005A718C"/>
    <w:rsid w:val="005E0DB1"/>
    <w:rsid w:val="005F3F4B"/>
    <w:rsid w:val="005F634A"/>
    <w:rsid w:val="005F7E74"/>
    <w:rsid w:val="006006B7"/>
    <w:rsid w:val="00601AB3"/>
    <w:rsid w:val="006053FD"/>
    <w:rsid w:val="00610066"/>
    <w:rsid w:val="00614554"/>
    <w:rsid w:val="00617722"/>
    <w:rsid w:val="006422D3"/>
    <w:rsid w:val="00646683"/>
    <w:rsid w:val="00656912"/>
    <w:rsid w:val="00663483"/>
    <w:rsid w:val="00674178"/>
    <w:rsid w:val="00692CCA"/>
    <w:rsid w:val="006B2690"/>
    <w:rsid w:val="006B577C"/>
    <w:rsid w:val="006D6186"/>
    <w:rsid w:val="006E0979"/>
    <w:rsid w:val="006F2C40"/>
    <w:rsid w:val="006F53FD"/>
    <w:rsid w:val="006F6ACC"/>
    <w:rsid w:val="0072059D"/>
    <w:rsid w:val="0072608B"/>
    <w:rsid w:val="00727078"/>
    <w:rsid w:val="007279A4"/>
    <w:rsid w:val="00731099"/>
    <w:rsid w:val="007315C2"/>
    <w:rsid w:val="00737BEB"/>
    <w:rsid w:val="00791A8C"/>
    <w:rsid w:val="007937B7"/>
    <w:rsid w:val="00797B18"/>
    <w:rsid w:val="007A4E28"/>
    <w:rsid w:val="007A7FE5"/>
    <w:rsid w:val="007B1D6E"/>
    <w:rsid w:val="007C2B47"/>
    <w:rsid w:val="007C552D"/>
    <w:rsid w:val="007F4E4F"/>
    <w:rsid w:val="007F5777"/>
    <w:rsid w:val="00811F9A"/>
    <w:rsid w:val="008260CE"/>
    <w:rsid w:val="00836078"/>
    <w:rsid w:val="0084469C"/>
    <w:rsid w:val="008629F5"/>
    <w:rsid w:val="00885D2F"/>
    <w:rsid w:val="008A7A68"/>
    <w:rsid w:val="008C566B"/>
    <w:rsid w:val="008C7464"/>
    <w:rsid w:val="008E60FC"/>
    <w:rsid w:val="008F12F9"/>
    <w:rsid w:val="00920A09"/>
    <w:rsid w:val="00922E95"/>
    <w:rsid w:val="009346D7"/>
    <w:rsid w:val="00935DBD"/>
    <w:rsid w:val="00942568"/>
    <w:rsid w:val="0098473D"/>
    <w:rsid w:val="009A503C"/>
    <w:rsid w:val="009C5C2D"/>
    <w:rsid w:val="009F7D86"/>
    <w:rsid w:val="00A12441"/>
    <w:rsid w:val="00A141AF"/>
    <w:rsid w:val="00A14569"/>
    <w:rsid w:val="00A31295"/>
    <w:rsid w:val="00A531B5"/>
    <w:rsid w:val="00A55517"/>
    <w:rsid w:val="00A703DC"/>
    <w:rsid w:val="00A72C81"/>
    <w:rsid w:val="00AD720B"/>
    <w:rsid w:val="00AE3C13"/>
    <w:rsid w:val="00AE7F95"/>
    <w:rsid w:val="00AF1921"/>
    <w:rsid w:val="00B103E6"/>
    <w:rsid w:val="00B133C4"/>
    <w:rsid w:val="00B1357A"/>
    <w:rsid w:val="00B1758A"/>
    <w:rsid w:val="00B446A8"/>
    <w:rsid w:val="00B50D5C"/>
    <w:rsid w:val="00B55C24"/>
    <w:rsid w:val="00B76616"/>
    <w:rsid w:val="00B977CE"/>
    <w:rsid w:val="00BA4F7B"/>
    <w:rsid w:val="00BA5DCF"/>
    <w:rsid w:val="00C23AF4"/>
    <w:rsid w:val="00C27FD9"/>
    <w:rsid w:val="00C41598"/>
    <w:rsid w:val="00C41FB5"/>
    <w:rsid w:val="00C45AE7"/>
    <w:rsid w:val="00C551DA"/>
    <w:rsid w:val="00C73CED"/>
    <w:rsid w:val="00C85AC1"/>
    <w:rsid w:val="00CA26DE"/>
    <w:rsid w:val="00CB2D65"/>
    <w:rsid w:val="00CD2444"/>
    <w:rsid w:val="00CD645C"/>
    <w:rsid w:val="00CE05C1"/>
    <w:rsid w:val="00CE3864"/>
    <w:rsid w:val="00CF32CA"/>
    <w:rsid w:val="00D2023B"/>
    <w:rsid w:val="00D33A79"/>
    <w:rsid w:val="00D4603E"/>
    <w:rsid w:val="00D57880"/>
    <w:rsid w:val="00D86D99"/>
    <w:rsid w:val="00D912DD"/>
    <w:rsid w:val="00DC29B8"/>
    <w:rsid w:val="00DC34F7"/>
    <w:rsid w:val="00E05AAB"/>
    <w:rsid w:val="00E12831"/>
    <w:rsid w:val="00E2243C"/>
    <w:rsid w:val="00E4653D"/>
    <w:rsid w:val="00E56615"/>
    <w:rsid w:val="00E60274"/>
    <w:rsid w:val="00E971B9"/>
    <w:rsid w:val="00EA2AB8"/>
    <w:rsid w:val="00EB235F"/>
    <w:rsid w:val="00EC2822"/>
    <w:rsid w:val="00EC28C2"/>
    <w:rsid w:val="00ED267A"/>
    <w:rsid w:val="00ED4BEE"/>
    <w:rsid w:val="00EE1038"/>
    <w:rsid w:val="00EF31E9"/>
    <w:rsid w:val="00EF516A"/>
    <w:rsid w:val="00F01534"/>
    <w:rsid w:val="00F254F4"/>
    <w:rsid w:val="00F30B13"/>
    <w:rsid w:val="00F50D67"/>
    <w:rsid w:val="00F64AC4"/>
    <w:rsid w:val="00F93F66"/>
    <w:rsid w:val="00FA34C0"/>
    <w:rsid w:val="00FD31D5"/>
    <w:rsid w:val="00FD50A7"/>
    <w:rsid w:val="00FE3C18"/>
    <w:rsid w:val="00FE751A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FC1"/>
  <w15:chartTrackingRefBased/>
  <w15:docId w15:val="{D7055FE9-5B09-474C-BE67-20A4DF8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4B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10066"/>
    <w:rPr>
      <w:b/>
      <w:bCs/>
    </w:rPr>
  </w:style>
  <w:style w:type="character" w:styleId="nfasis">
    <w:name w:val="Emphasis"/>
    <w:basedOn w:val="Fuentedeprrafopredeter"/>
    <w:uiPriority w:val="20"/>
    <w:qFormat/>
    <w:rsid w:val="00610066"/>
    <w:rPr>
      <w:i/>
      <w:iCs/>
    </w:rPr>
  </w:style>
  <w:style w:type="paragraph" w:styleId="Prrafodelista">
    <w:name w:val="List Paragraph"/>
    <w:basedOn w:val="Normal"/>
    <w:uiPriority w:val="34"/>
    <w:qFormat/>
    <w:rsid w:val="00692C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C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92C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C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C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C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CCA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AE7F95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m-1506563028745833738xxxxmsonormal">
    <w:name w:val="x_m-1506563028745833738xxxxmsonormal"/>
    <w:basedOn w:val="Normal"/>
    <w:uiPriority w:val="99"/>
    <w:rsid w:val="00AE7F9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89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7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8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9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7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1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6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357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69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216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762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733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26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95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00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44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23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i-a.ch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-i-a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ia.lilao@actitu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139D-D070-4154-B39D-E5113052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Meri</dc:creator>
  <cp:keywords/>
  <dc:description/>
  <cp:lastModifiedBy>actitud4</cp:lastModifiedBy>
  <cp:revision>3</cp:revision>
  <cp:lastPrinted>2021-02-15T15:31:00Z</cp:lastPrinted>
  <dcterms:created xsi:type="dcterms:W3CDTF">2021-02-15T15:53:00Z</dcterms:created>
  <dcterms:modified xsi:type="dcterms:W3CDTF">2021-02-17T08:41:00Z</dcterms:modified>
</cp:coreProperties>
</file>