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Según datos facilitados por Airhelp, la mayor organización internacional de derechos de los pasajeros aéreos, con motivo de las huelgas en el transporte aéreo,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rtl w:val="0"/>
        </w:rPr>
      </w:r>
    </w:p>
    <w:p w:rsidR="00000000" w:rsidDel="00000000" w:rsidP="00000000" w:rsidRDefault="00000000" w:rsidRPr="00000000" w14:paraId="00000004">
      <w:pPr>
        <w:spacing w:after="240" w:lin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Más de 350.000 pasajeros aéreos españoles tienen derecho a una compensación por vuelos cancelados y retrasados desde mayo</w:t>
      </w:r>
    </w:p>
    <w:p w:rsidR="00000000" w:rsidDel="00000000" w:rsidP="00000000" w:rsidRDefault="00000000" w:rsidRPr="00000000" w14:paraId="00000005">
      <w:pPr>
        <w:spacing w:after="24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Los datos incluyen las interrupciones de vuelos en los tres últimos meses en España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compañía ha notificado un aumento de la demanda de sus servicios en un 266% desde el mes de mayo a julio de este año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AirHelp acaba de elaborar una Guía que recoge los derechos de los pasajeros aéreos para que todos los viajeros estén informados </w:t>
      </w:r>
      <w:r w:rsidDel="00000000" w:rsidR="00000000" w:rsidRPr="00000000">
        <w:rPr>
          <w:rtl w:val="0"/>
        </w:rPr>
      </w:r>
    </w:p>
    <w:p w:rsidR="00000000" w:rsidDel="00000000" w:rsidP="00000000" w:rsidRDefault="00000000" w:rsidRPr="00000000" w14:paraId="0000000B">
      <w:pPr>
        <w:spacing w:after="24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17 de agosto de 2022.-</w:t>
      </w:r>
      <w:r w:rsidDel="00000000" w:rsidR="00000000" w:rsidRPr="00000000">
        <w:rPr>
          <w:rFonts w:ascii="Calibri" w:cs="Calibri" w:eastAsia="Calibri" w:hAnsi="Calibri"/>
          <w:rtl w:val="0"/>
        </w:rPr>
        <w:t xml:space="preserve"> Con motivo de las huelgas convocadas por diferentes aerolíneas se espera que se cancelen o retrasen cientos de vuelos que se suman a las decenas de miles que ya fueron interrumpidos durante los meses anteriores. Según datos facilitados por </w:t>
      </w:r>
      <w:hyperlink r:id="rId7">
        <w:r w:rsidDel="00000000" w:rsidR="00000000" w:rsidRPr="00000000">
          <w:rPr>
            <w:rFonts w:ascii="Calibri" w:cs="Calibri" w:eastAsia="Calibri" w:hAnsi="Calibri"/>
            <w:color w:val="0000ff"/>
            <w:u w:val="single"/>
            <w:rtl w:val="0"/>
          </w:rPr>
          <w:t xml:space="preserve">AirHelp</w:t>
        </w:r>
      </w:hyperlink>
      <w:r w:rsidDel="00000000" w:rsidR="00000000" w:rsidRPr="00000000">
        <w:rPr>
          <w:rFonts w:ascii="Calibri" w:cs="Calibri" w:eastAsia="Calibri" w:hAnsi="Calibri"/>
          <w:rtl w:val="0"/>
        </w:rPr>
        <w:t xml:space="preserve">, </w:t>
      </w:r>
      <w:r w:rsidDel="00000000" w:rsidR="00000000" w:rsidRPr="00000000">
        <w:rPr>
          <w:color w:val="000000"/>
          <w:sz w:val="20"/>
          <w:szCs w:val="20"/>
          <w:rtl w:val="0"/>
        </w:rPr>
        <w:t xml:space="preserve">la mayor organización internacional de derechos de los pasajeros aéreos</w:t>
      </w:r>
      <w:r w:rsidDel="00000000" w:rsidR="00000000" w:rsidRPr="00000000">
        <w:rPr>
          <w:rFonts w:ascii="Calibri" w:cs="Calibri" w:eastAsia="Calibri" w:hAnsi="Calibri"/>
          <w:rtl w:val="0"/>
        </w:rPr>
        <w:t xml:space="preserve">, el pasado mes de mayo se interrumpieron 12.000 vuelos, 155 de ellos fueron cancelados y 54.000 pasajeros tuvieron derecho a indemnización; en junio fueron 18.000 vuelos interrupciones con 622 cancelaciones y 141.000 pasajeros con derecho a indemnización y en julio, 20.000 vuelos interrumpidos, 622 cancelados y 141.000 pasajeros susceptibles de ser indemnizados.</w:t>
      </w:r>
    </w:p>
    <w:p w:rsidR="00000000" w:rsidDel="00000000" w:rsidP="00000000" w:rsidRDefault="00000000" w:rsidRPr="00000000" w14:paraId="0000000C">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Según datos proporcionados por la compañía, la demanda de sus servicios en España ha crecido un 266% en este periodo y un 133% solo en el pasado mes de julio, una cifra muy por encima de la media global a nivel internacional de los países donde opera Airhelp. Este porcentaje está solo por debajo del de Estados Unidos, Alemania y Polonia (318%, 320% y 337% respectivamente) y por encima del de  países como Francia (224%) Portugal (213%) y Brasil (143%).</w:t>
      </w:r>
    </w:p>
    <w:p w:rsidR="00000000" w:rsidDel="00000000" w:rsidP="00000000" w:rsidRDefault="00000000" w:rsidRPr="00000000" w14:paraId="0000000D">
      <w:pPr>
        <w:spacing w:after="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¿Cuántos pasajeros han sufrido incidencias en sus vuelos de este verano y tienen derecho a compensación? </w:t>
      </w:r>
    </w:p>
    <w:p w:rsidR="00000000" w:rsidDel="00000000" w:rsidP="00000000" w:rsidRDefault="00000000" w:rsidRPr="00000000" w14:paraId="0000000E">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Según el análisis de AirHelp desde el verano hasta ahora </w:t>
      </w:r>
      <w:r w:rsidDel="00000000" w:rsidR="00000000" w:rsidRPr="00000000">
        <w:rPr>
          <w:rFonts w:ascii="Calibri" w:cs="Calibri" w:eastAsia="Calibri" w:hAnsi="Calibri"/>
          <w:b w:val="1"/>
          <w:rtl w:val="0"/>
        </w:rPr>
        <w:t xml:space="preserve">un total de 3,8 millones de pasajeros de todo el mundo tienen derecho a ser indemnizados, 1,6 millones solo en el pasado mes de julio</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De estos, 355.000 de ellos son pasajeros de España, cifra por encima de países como EEUU, Portugal, Polonia, Brasil y solo por debajo de Alemania y Francia. </w:t>
      </w:r>
    </w:p>
    <w:p w:rsidR="00000000" w:rsidDel="00000000" w:rsidP="00000000" w:rsidRDefault="00000000" w:rsidRPr="00000000" w14:paraId="00000010">
      <w:pPr>
        <w:spacing w:after="240" w:line="240" w:lineRule="auto"/>
        <w:jc w:val="both"/>
        <w:rPr>
          <w:rFonts w:ascii="Calibri" w:cs="Calibri" w:eastAsia="Calibri" w:hAnsi="Calibri"/>
        </w:rPr>
      </w:pPr>
      <w:r w:rsidDel="00000000" w:rsidR="00000000" w:rsidRPr="00000000">
        <w:rPr>
          <w:rtl w:val="0"/>
        </w:rPr>
      </w:r>
    </w:p>
    <w:tbl>
      <w:tblPr>
        <w:tblStyle w:val="Table1"/>
        <w:tblW w:w="3197.0" w:type="dxa"/>
        <w:jc w:val="center"/>
        <w:tblLayout w:type="fixed"/>
        <w:tblLook w:val="0400"/>
      </w:tblPr>
      <w:tblGrid>
        <w:gridCol w:w="1491"/>
        <w:gridCol w:w="1706"/>
        <w:tblGridChange w:id="0">
          <w:tblGrid>
            <w:gridCol w:w="1491"/>
            <w:gridCol w:w="1706"/>
          </w:tblGrid>
        </w:tblGridChange>
      </w:tblGrid>
      <w:tr>
        <w:trPr>
          <w:cantSplit w:val="0"/>
          <w:trHeight w:val="315" w:hRule="atLeast"/>
          <w:tblHeader w:val="0"/>
        </w:trPr>
        <w:tc>
          <w:tcPr>
            <w:tcBorders>
              <w:top w:color="000000" w:space="0" w:sz="0" w:val="nil"/>
              <w:left w:color="cccccc" w:space="0" w:sz="8" w:val="single"/>
              <w:bottom w:color="cccccc" w:space="0" w:sz="8" w:val="single"/>
              <w:right w:color="cccccc" w:space="0" w:sz="8" w:val="single"/>
            </w:tcBorders>
            <w:tcMar>
              <w:top w:w="30.0" w:type="dxa"/>
              <w:left w:w="45.0" w:type="dxa"/>
              <w:bottom w:w="30.0" w:type="dxa"/>
              <w:right w:w="45.0" w:type="dxa"/>
            </w:tcMar>
            <w:vAlign w:val="bottom"/>
          </w:tcPr>
          <w:p w:rsidR="00000000" w:rsidDel="00000000" w:rsidP="00000000" w:rsidRDefault="00000000" w:rsidRPr="00000000" w14:paraId="00000011">
            <w:pPr>
              <w:rPr/>
            </w:pPr>
            <w:r w:rsidDel="00000000" w:rsidR="00000000" w:rsidRPr="00000000">
              <w:rPr>
                <w:rtl w:val="0"/>
              </w:rPr>
            </w:r>
          </w:p>
        </w:tc>
        <w:tc>
          <w:tcPr>
            <w:tcBorders>
              <w:top w:color="000000" w:space="0" w:sz="0" w:val="nil"/>
              <w:left w:color="000000" w:space="0" w:sz="0" w:val="nil"/>
              <w:bottom w:color="cccccc" w:space="0" w:sz="8" w:val="single"/>
              <w:right w:color="cccccc" w:space="0" w:sz="8" w:val="single"/>
            </w:tcBorders>
            <w:shd w:fill="d9ead3" w:val="clear"/>
            <w:tcMar>
              <w:top w:w="30.0" w:type="dxa"/>
              <w:left w:w="45.0" w:type="dxa"/>
              <w:bottom w:w="30.0" w:type="dxa"/>
              <w:right w:w="45.0" w:type="dxa"/>
            </w:tcMar>
            <w:vAlign w:val="bottom"/>
          </w:tcPr>
          <w:p w:rsidR="00000000" w:rsidDel="00000000" w:rsidP="00000000" w:rsidRDefault="00000000" w:rsidRPr="00000000" w14:paraId="00000012">
            <w:pPr>
              <w:rPr>
                <w:rFonts w:ascii="Calibri" w:cs="Calibri" w:eastAsia="Calibri" w:hAnsi="Calibri"/>
                <w:b w:val="1"/>
                <w:sz w:val="24"/>
                <w:szCs w:val="24"/>
              </w:rPr>
            </w:pPr>
            <w:r w:rsidDel="00000000" w:rsidR="00000000" w:rsidRPr="00000000">
              <w:rPr>
                <w:rFonts w:ascii="Calibri" w:cs="Calibri" w:eastAsia="Calibri" w:hAnsi="Calibri"/>
                <w:b w:val="1"/>
                <w:rtl w:val="0"/>
              </w:rPr>
              <w:t xml:space="preserve">mayo – julio 2022</w:t>
            </w:r>
            <w:r w:rsidDel="00000000" w:rsidR="00000000" w:rsidRPr="00000000">
              <w:rPr>
                <w:rtl w:val="0"/>
              </w:rPr>
            </w:r>
          </w:p>
        </w:tc>
      </w:tr>
      <w:tr>
        <w:trPr>
          <w:cantSplit w:val="0"/>
          <w:trHeight w:val="315" w:hRule="atLeast"/>
          <w:tblHeader w:val="0"/>
        </w:trPr>
        <w:tc>
          <w:tcPr>
            <w:tcBorders>
              <w:top w:color="000000" w:space="0" w:sz="0" w:val="nil"/>
              <w:left w:color="cccccc" w:space="0" w:sz="8" w:val="single"/>
              <w:bottom w:color="cccccc" w:space="0" w:sz="8" w:val="single"/>
              <w:right w:color="cccccc" w:space="0" w:sz="8" w:val="single"/>
            </w:tcBorders>
            <w:tcMar>
              <w:top w:w="30.0" w:type="dxa"/>
              <w:left w:w="45.0" w:type="dxa"/>
              <w:bottom w:w="30.0" w:type="dxa"/>
              <w:right w:w="45.0" w:type="dxa"/>
            </w:tcMar>
            <w:vAlign w:val="bottom"/>
          </w:tcPr>
          <w:p w:rsidR="00000000" w:rsidDel="00000000" w:rsidP="00000000" w:rsidRDefault="00000000" w:rsidRPr="00000000" w14:paraId="00000013">
            <w:pPr>
              <w:rPr>
                <w:rFonts w:ascii="Calibri" w:cs="Calibri" w:eastAsia="Calibri" w:hAnsi="Calibri"/>
              </w:rPr>
            </w:pPr>
            <w:r w:rsidDel="00000000" w:rsidR="00000000" w:rsidRPr="00000000">
              <w:rPr>
                <w:sz w:val="20"/>
                <w:szCs w:val="20"/>
                <w:rtl w:val="0"/>
              </w:rPr>
              <w:t xml:space="preserve">Global</w:t>
            </w:r>
            <w:r w:rsidDel="00000000" w:rsidR="00000000" w:rsidRPr="00000000">
              <w:rPr>
                <w:rtl w:val="0"/>
              </w:rPr>
            </w:r>
          </w:p>
        </w:tc>
        <w:tc>
          <w:tcPr>
            <w:tcBorders>
              <w:top w:color="000000" w:space="0" w:sz="0" w:val="nil"/>
              <w:left w:color="000000" w:space="0" w:sz="0" w:val="nil"/>
              <w:bottom w:color="cccccc" w:space="0" w:sz="8" w:val="single"/>
              <w:right w:color="cccccc" w:space="0" w:sz="8" w:val="single"/>
            </w:tcBorders>
            <w:shd w:fill="d9ead3" w:val="clear"/>
            <w:tcMar>
              <w:top w:w="30.0" w:type="dxa"/>
              <w:left w:w="45.0" w:type="dxa"/>
              <w:bottom w:w="30.0" w:type="dxa"/>
              <w:right w:w="45.0" w:type="dxa"/>
            </w:tcMar>
            <w:vAlign w:val="bottom"/>
          </w:tcPr>
          <w:p w:rsidR="00000000" w:rsidDel="00000000" w:rsidP="00000000" w:rsidRDefault="00000000" w:rsidRPr="00000000" w14:paraId="00000014">
            <w:pPr>
              <w:rPr>
                <w:rFonts w:ascii="Calibri" w:cs="Calibri" w:eastAsia="Calibri" w:hAnsi="Calibri"/>
              </w:rPr>
            </w:pPr>
            <w:r w:rsidDel="00000000" w:rsidR="00000000" w:rsidRPr="00000000">
              <w:rPr>
                <w:color w:val="000000"/>
                <w:sz w:val="20"/>
                <w:szCs w:val="20"/>
                <w:rtl w:val="0"/>
              </w:rPr>
              <w:t xml:space="preserve">3.8M</w:t>
            </w:r>
            <w:r w:rsidDel="00000000" w:rsidR="00000000" w:rsidRPr="00000000">
              <w:rPr>
                <w:rtl w:val="0"/>
              </w:rPr>
            </w:r>
          </w:p>
        </w:tc>
      </w:tr>
      <w:tr>
        <w:trPr>
          <w:cantSplit w:val="0"/>
          <w:trHeight w:val="315" w:hRule="atLeast"/>
          <w:tblHeader w:val="0"/>
        </w:trPr>
        <w:tc>
          <w:tcPr>
            <w:tcBorders>
              <w:top w:color="000000" w:space="0" w:sz="0" w:val="nil"/>
              <w:left w:color="cccccc" w:space="0" w:sz="8" w:val="single"/>
              <w:bottom w:color="cccccc" w:space="0" w:sz="8" w:val="single"/>
              <w:right w:color="cccccc" w:space="0" w:sz="8" w:val="single"/>
            </w:tcBorders>
            <w:tcMar>
              <w:top w:w="30.0" w:type="dxa"/>
              <w:left w:w="45.0" w:type="dxa"/>
              <w:bottom w:w="30.0" w:type="dxa"/>
              <w:right w:w="45.0" w:type="dxa"/>
            </w:tcMar>
            <w:vAlign w:val="bottom"/>
          </w:tcPr>
          <w:p w:rsidR="00000000" w:rsidDel="00000000" w:rsidP="00000000" w:rsidRDefault="00000000" w:rsidRPr="00000000" w14:paraId="00000015">
            <w:pPr>
              <w:rPr>
                <w:rFonts w:ascii="Calibri" w:cs="Calibri" w:eastAsia="Calibri" w:hAnsi="Calibri"/>
              </w:rPr>
            </w:pPr>
            <w:r w:rsidDel="00000000" w:rsidR="00000000" w:rsidRPr="00000000">
              <w:rPr>
                <w:sz w:val="20"/>
                <w:szCs w:val="20"/>
                <w:rtl w:val="0"/>
              </w:rPr>
              <w:t xml:space="preserve">Francia</w:t>
            </w:r>
            <w:r w:rsidDel="00000000" w:rsidR="00000000" w:rsidRPr="00000000">
              <w:rPr>
                <w:rtl w:val="0"/>
              </w:rPr>
            </w:r>
          </w:p>
        </w:tc>
        <w:tc>
          <w:tcPr>
            <w:tcBorders>
              <w:top w:color="000000" w:space="0" w:sz="0" w:val="nil"/>
              <w:left w:color="000000" w:space="0" w:sz="0" w:val="nil"/>
              <w:bottom w:color="cccccc" w:space="0" w:sz="8" w:val="single"/>
              <w:right w:color="cccccc" w:space="0" w:sz="8" w:val="single"/>
            </w:tcBorders>
            <w:shd w:fill="d9ead3" w:val="clear"/>
            <w:tcMar>
              <w:top w:w="30.0" w:type="dxa"/>
              <w:left w:w="45.0" w:type="dxa"/>
              <w:bottom w:w="30.0" w:type="dxa"/>
              <w:right w:w="45.0" w:type="dxa"/>
            </w:tcMar>
            <w:vAlign w:val="bottom"/>
          </w:tcPr>
          <w:p w:rsidR="00000000" w:rsidDel="00000000" w:rsidP="00000000" w:rsidRDefault="00000000" w:rsidRPr="00000000" w14:paraId="00000016">
            <w:pPr>
              <w:rPr>
                <w:rFonts w:ascii="Calibri" w:cs="Calibri" w:eastAsia="Calibri" w:hAnsi="Calibri"/>
              </w:rPr>
            </w:pPr>
            <w:r w:rsidDel="00000000" w:rsidR="00000000" w:rsidRPr="00000000">
              <w:rPr>
                <w:color w:val="000000"/>
                <w:sz w:val="20"/>
                <w:szCs w:val="20"/>
                <w:rtl w:val="0"/>
              </w:rPr>
              <w:t xml:space="preserve">365K</w:t>
            </w:r>
            <w:r w:rsidDel="00000000" w:rsidR="00000000" w:rsidRPr="00000000">
              <w:rPr>
                <w:rtl w:val="0"/>
              </w:rPr>
            </w:r>
          </w:p>
        </w:tc>
      </w:tr>
      <w:tr>
        <w:trPr>
          <w:cantSplit w:val="0"/>
          <w:trHeight w:val="315" w:hRule="atLeast"/>
          <w:tblHeader w:val="0"/>
        </w:trPr>
        <w:tc>
          <w:tcPr>
            <w:tcBorders>
              <w:top w:color="000000" w:space="0" w:sz="0" w:val="nil"/>
              <w:left w:color="cccccc" w:space="0" w:sz="8" w:val="single"/>
              <w:bottom w:color="cccccc" w:space="0" w:sz="8" w:val="single"/>
              <w:right w:color="cccccc" w:space="0" w:sz="8" w:val="single"/>
            </w:tcBorders>
            <w:tcMar>
              <w:top w:w="30.0" w:type="dxa"/>
              <w:left w:w="45.0" w:type="dxa"/>
              <w:bottom w:w="30.0" w:type="dxa"/>
              <w:right w:w="45.0" w:type="dxa"/>
            </w:tcMar>
            <w:vAlign w:val="bottom"/>
          </w:tcPr>
          <w:p w:rsidR="00000000" w:rsidDel="00000000" w:rsidP="00000000" w:rsidRDefault="00000000" w:rsidRPr="00000000" w14:paraId="00000017">
            <w:pPr>
              <w:rPr>
                <w:rFonts w:ascii="Calibri" w:cs="Calibri" w:eastAsia="Calibri" w:hAnsi="Calibri"/>
              </w:rPr>
            </w:pPr>
            <w:r w:rsidDel="00000000" w:rsidR="00000000" w:rsidRPr="00000000">
              <w:rPr>
                <w:sz w:val="20"/>
                <w:szCs w:val="20"/>
                <w:rtl w:val="0"/>
              </w:rPr>
              <w:t xml:space="preserve">Alemania</w:t>
            </w:r>
            <w:r w:rsidDel="00000000" w:rsidR="00000000" w:rsidRPr="00000000">
              <w:rPr>
                <w:rtl w:val="0"/>
              </w:rPr>
            </w:r>
          </w:p>
        </w:tc>
        <w:tc>
          <w:tcPr>
            <w:tcBorders>
              <w:top w:color="000000" w:space="0" w:sz="0" w:val="nil"/>
              <w:left w:color="000000" w:space="0" w:sz="0" w:val="nil"/>
              <w:bottom w:color="cccccc" w:space="0" w:sz="8" w:val="single"/>
              <w:right w:color="cccccc" w:space="0" w:sz="8" w:val="single"/>
            </w:tcBorders>
            <w:shd w:fill="d9ead3" w:val="clear"/>
            <w:tcMar>
              <w:top w:w="30.0" w:type="dxa"/>
              <w:left w:w="45.0" w:type="dxa"/>
              <w:bottom w:w="30.0" w:type="dxa"/>
              <w:right w:w="45.0" w:type="dxa"/>
            </w:tcMar>
            <w:vAlign w:val="bottom"/>
          </w:tcPr>
          <w:p w:rsidR="00000000" w:rsidDel="00000000" w:rsidP="00000000" w:rsidRDefault="00000000" w:rsidRPr="00000000" w14:paraId="00000018">
            <w:pPr>
              <w:rPr>
                <w:rFonts w:ascii="Calibri" w:cs="Calibri" w:eastAsia="Calibri" w:hAnsi="Calibri"/>
              </w:rPr>
            </w:pPr>
            <w:r w:rsidDel="00000000" w:rsidR="00000000" w:rsidRPr="00000000">
              <w:rPr>
                <w:color w:val="000000"/>
                <w:sz w:val="20"/>
                <w:szCs w:val="20"/>
                <w:rtl w:val="0"/>
              </w:rPr>
              <w:t xml:space="preserve">472K</w:t>
            </w:r>
            <w:r w:rsidDel="00000000" w:rsidR="00000000" w:rsidRPr="00000000">
              <w:rPr>
                <w:rtl w:val="0"/>
              </w:rPr>
            </w:r>
          </w:p>
        </w:tc>
      </w:tr>
      <w:tr>
        <w:trPr>
          <w:cantSplit w:val="0"/>
          <w:trHeight w:val="315" w:hRule="atLeast"/>
          <w:tblHeader w:val="0"/>
        </w:trPr>
        <w:tc>
          <w:tcPr>
            <w:tcBorders>
              <w:top w:color="000000" w:space="0" w:sz="0" w:val="nil"/>
              <w:left w:color="cccccc" w:space="0" w:sz="8" w:val="single"/>
              <w:bottom w:color="cccccc" w:space="0" w:sz="8" w:val="single"/>
              <w:right w:color="cccccc" w:space="0" w:sz="8" w:val="single"/>
            </w:tcBorders>
            <w:tcMar>
              <w:top w:w="30.0" w:type="dxa"/>
              <w:left w:w="45.0" w:type="dxa"/>
              <w:bottom w:w="30.0" w:type="dxa"/>
              <w:right w:w="45.0" w:type="dxa"/>
            </w:tcMar>
            <w:vAlign w:val="bottom"/>
          </w:tcPr>
          <w:p w:rsidR="00000000" w:rsidDel="00000000" w:rsidP="00000000" w:rsidRDefault="00000000" w:rsidRPr="00000000" w14:paraId="00000019">
            <w:pPr>
              <w:rPr>
                <w:rFonts w:ascii="Calibri" w:cs="Calibri" w:eastAsia="Calibri" w:hAnsi="Calibri"/>
              </w:rPr>
            </w:pPr>
            <w:r w:rsidDel="00000000" w:rsidR="00000000" w:rsidRPr="00000000">
              <w:rPr>
                <w:sz w:val="20"/>
                <w:szCs w:val="20"/>
                <w:rtl w:val="0"/>
              </w:rPr>
              <w:t xml:space="preserve">USA</w:t>
            </w:r>
            <w:r w:rsidDel="00000000" w:rsidR="00000000" w:rsidRPr="00000000">
              <w:rPr>
                <w:rtl w:val="0"/>
              </w:rPr>
            </w:r>
          </w:p>
        </w:tc>
        <w:tc>
          <w:tcPr>
            <w:tcBorders>
              <w:top w:color="000000" w:space="0" w:sz="0" w:val="nil"/>
              <w:left w:color="000000" w:space="0" w:sz="0" w:val="nil"/>
              <w:bottom w:color="cccccc" w:space="0" w:sz="8" w:val="single"/>
              <w:right w:color="cccccc" w:space="0" w:sz="8" w:val="single"/>
            </w:tcBorders>
            <w:shd w:fill="d9ead3" w:val="clear"/>
            <w:tcMar>
              <w:top w:w="30.0" w:type="dxa"/>
              <w:left w:w="45.0" w:type="dxa"/>
              <w:bottom w:w="30.0" w:type="dxa"/>
              <w:right w:w="45.0" w:type="dxa"/>
            </w:tcMar>
            <w:vAlign w:val="bottom"/>
          </w:tcPr>
          <w:p w:rsidR="00000000" w:rsidDel="00000000" w:rsidP="00000000" w:rsidRDefault="00000000" w:rsidRPr="00000000" w14:paraId="0000001A">
            <w:pPr>
              <w:rPr>
                <w:rFonts w:ascii="Calibri" w:cs="Calibri" w:eastAsia="Calibri" w:hAnsi="Calibri"/>
              </w:rPr>
            </w:pPr>
            <w:r w:rsidDel="00000000" w:rsidR="00000000" w:rsidRPr="00000000">
              <w:rPr>
                <w:color w:val="000000"/>
                <w:sz w:val="20"/>
                <w:szCs w:val="20"/>
                <w:rtl w:val="0"/>
              </w:rPr>
              <w:t xml:space="preserve">140K</w:t>
            </w:r>
            <w:r w:rsidDel="00000000" w:rsidR="00000000" w:rsidRPr="00000000">
              <w:rPr>
                <w:rtl w:val="0"/>
              </w:rPr>
            </w:r>
          </w:p>
        </w:tc>
      </w:tr>
      <w:tr>
        <w:trPr>
          <w:cantSplit w:val="0"/>
          <w:trHeight w:val="315" w:hRule="atLeast"/>
          <w:tblHeader w:val="0"/>
        </w:trPr>
        <w:tc>
          <w:tcPr>
            <w:tcBorders>
              <w:top w:color="000000" w:space="0" w:sz="0" w:val="nil"/>
              <w:left w:color="cccccc" w:space="0" w:sz="8" w:val="single"/>
              <w:bottom w:color="cccccc" w:space="0" w:sz="8" w:val="single"/>
              <w:right w:color="cccccc" w:space="0" w:sz="8" w:val="single"/>
            </w:tcBorders>
            <w:tcMar>
              <w:top w:w="30.0" w:type="dxa"/>
              <w:left w:w="45.0" w:type="dxa"/>
              <w:bottom w:w="30.0" w:type="dxa"/>
              <w:right w:w="45.0" w:type="dxa"/>
            </w:tcMar>
            <w:vAlign w:val="bottom"/>
          </w:tcPr>
          <w:p w:rsidR="00000000" w:rsidDel="00000000" w:rsidP="00000000" w:rsidRDefault="00000000" w:rsidRPr="00000000" w14:paraId="0000001B">
            <w:pPr>
              <w:rPr>
                <w:rFonts w:ascii="Calibri" w:cs="Calibri" w:eastAsia="Calibri" w:hAnsi="Calibri"/>
              </w:rPr>
            </w:pPr>
            <w:r w:rsidDel="00000000" w:rsidR="00000000" w:rsidRPr="00000000">
              <w:rPr>
                <w:color w:val="ff0000"/>
                <w:sz w:val="20"/>
                <w:szCs w:val="20"/>
                <w:rtl w:val="0"/>
              </w:rPr>
              <w:t xml:space="preserve">España</w:t>
            </w:r>
            <w:r w:rsidDel="00000000" w:rsidR="00000000" w:rsidRPr="00000000">
              <w:rPr>
                <w:rtl w:val="0"/>
              </w:rPr>
            </w:r>
          </w:p>
        </w:tc>
        <w:tc>
          <w:tcPr>
            <w:tcBorders>
              <w:top w:color="000000" w:space="0" w:sz="0" w:val="nil"/>
              <w:left w:color="000000" w:space="0" w:sz="0" w:val="nil"/>
              <w:bottom w:color="cccccc" w:space="0" w:sz="8" w:val="single"/>
              <w:right w:color="cccccc" w:space="0" w:sz="8" w:val="single"/>
            </w:tcBorders>
            <w:shd w:fill="d9ead3" w:val="clear"/>
            <w:tcMar>
              <w:top w:w="30.0" w:type="dxa"/>
              <w:left w:w="45.0" w:type="dxa"/>
              <w:bottom w:w="30.0" w:type="dxa"/>
              <w:right w:w="45.0" w:type="dxa"/>
            </w:tcMar>
            <w:vAlign w:val="bottom"/>
          </w:tcPr>
          <w:p w:rsidR="00000000" w:rsidDel="00000000" w:rsidP="00000000" w:rsidRDefault="00000000" w:rsidRPr="00000000" w14:paraId="0000001C">
            <w:pPr>
              <w:rPr>
                <w:rFonts w:ascii="Calibri" w:cs="Calibri" w:eastAsia="Calibri" w:hAnsi="Calibri"/>
              </w:rPr>
            </w:pPr>
            <w:r w:rsidDel="00000000" w:rsidR="00000000" w:rsidRPr="00000000">
              <w:rPr>
                <w:color w:val="ff0000"/>
                <w:sz w:val="20"/>
                <w:szCs w:val="20"/>
                <w:rtl w:val="0"/>
              </w:rPr>
              <w:t xml:space="preserve">355K</w:t>
            </w:r>
            <w:r w:rsidDel="00000000" w:rsidR="00000000" w:rsidRPr="00000000">
              <w:rPr>
                <w:rtl w:val="0"/>
              </w:rPr>
            </w:r>
          </w:p>
        </w:tc>
      </w:tr>
      <w:tr>
        <w:trPr>
          <w:cantSplit w:val="0"/>
          <w:trHeight w:val="315" w:hRule="atLeast"/>
          <w:tblHeader w:val="0"/>
        </w:trPr>
        <w:tc>
          <w:tcPr>
            <w:tcBorders>
              <w:top w:color="000000" w:space="0" w:sz="0" w:val="nil"/>
              <w:left w:color="cccccc" w:space="0" w:sz="8" w:val="single"/>
              <w:bottom w:color="cccccc" w:space="0" w:sz="8" w:val="single"/>
              <w:right w:color="cccccc" w:space="0" w:sz="8" w:val="single"/>
            </w:tcBorders>
            <w:tcMar>
              <w:top w:w="30.0" w:type="dxa"/>
              <w:left w:w="45.0" w:type="dxa"/>
              <w:bottom w:w="30.0" w:type="dxa"/>
              <w:right w:w="45.0" w:type="dxa"/>
            </w:tcMar>
            <w:vAlign w:val="bottom"/>
          </w:tcPr>
          <w:p w:rsidR="00000000" w:rsidDel="00000000" w:rsidP="00000000" w:rsidRDefault="00000000" w:rsidRPr="00000000" w14:paraId="0000001D">
            <w:pPr>
              <w:rPr>
                <w:rFonts w:ascii="Calibri" w:cs="Calibri" w:eastAsia="Calibri" w:hAnsi="Calibri"/>
              </w:rPr>
            </w:pPr>
            <w:r w:rsidDel="00000000" w:rsidR="00000000" w:rsidRPr="00000000">
              <w:rPr>
                <w:sz w:val="20"/>
                <w:szCs w:val="20"/>
                <w:rtl w:val="0"/>
              </w:rPr>
              <w:t xml:space="preserve">Portugal</w:t>
            </w:r>
            <w:r w:rsidDel="00000000" w:rsidR="00000000" w:rsidRPr="00000000">
              <w:rPr>
                <w:rtl w:val="0"/>
              </w:rPr>
            </w:r>
          </w:p>
        </w:tc>
        <w:tc>
          <w:tcPr>
            <w:tcBorders>
              <w:top w:color="000000" w:space="0" w:sz="0" w:val="nil"/>
              <w:left w:color="000000" w:space="0" w:sz="0" w:val="nil"/>
              <w:bottom w:color="cccccc" w:space="0" w:sz="8" w:val="single"/>
              <w:right w:color="cccccc" w:space="0" w:sz="8" w:val="single"/>
            </w:tcBorders>
            <w:shd w:fill="d9ead3" w:val="clear"/>
            <w:tcMar>
              <w:top w:w="30.0" w:type="dxa"/>
              <w:left w:w="45.0" w:type="dxa"/>
              <w:bottom w:w="30.0" w:type="dxa"/>
              <w:right w:w="45.0" w:type="dxa"/>
            </w:tcMar>
            <w:vAlign w:val="bottom"/>
          </w:tcPr>
          <w:p w:rsidR="00000000" w:rsidDel="00000000" w:rsidP="00000000" w:rsidRDefault="00000000" w:rsidRPr="00000000" w14:paraId="0000001E">
            <w:pPr>
              <w:rPr>
                <w:rFonts w:ascii="Calibri" w:cs="Calibri" w:eastAsia="Calibri" w:hAnsi="Calibri"/>
              </w:rPr>
            </w:pPr>
            <w:r w:rsidDel="00000000" w:rsidR="00000000" w:rsidRPr="00000000">
              <w:rPr>
                <w:color w:val="000000"/>
                <w:sz w:val="20"/>
                <w:szCs w:val="20"/>
                <w:rtl w:val="0"/>
              </w:rPr>
              <w:t xml:space="preserve">158K</w:t>
            </w:r>
            <w:r w:rsidDel="00000000" w:rsidR="00000000" w:rsidRPr="00000000">
              <w:rPr>
                <w:rtl w:val="0"/>
              </w:rPr>
            </w:r>
          </w:p>
        </w:tc>
      </w:tr>
      <w:tr>
        <w:trPr>
          <w:cantSplit w:val="0"/>
          <w:trHeight w:val="315" w:hRule="atLeast"/>
          <w:tblHeader w:val="0"/>
        </w:trPr>
        <w:tc>
          <w:tcPr>
            <w:tcBorders>
              <w:top w:color="000000" w:space="0" w:sz="0" w:val="nil"/>
              <w:left w:color="cccccc" w:space="0" w:sz="8" w:val="single"/>
              <w:bottom w:color="cccccc" w:space="0" w:sz="8" w:val="single"/>
              <w:right w:color="cccccc" w:space="0" w:sz="8" w:val="single"/>
            </w:tcBorders>
            <w:tcMar>
              <w:top w:w="30.0" w:type="dxa"/>
              <w:left w:w="45.0" w:type="dxa"/>
              <w:bottom w:w="30.0" w:type="dxa"/>
              <w:right w:w="45.0" w:type="dxa"/>
            </w:tcMar>
            <w:vAlign w:val="bottom"/>
          </w:tcPr>
          <w:p w:rsidR="00000000" w:rsidDel="00000000" w:rsidP="00000000" w:rsidRDefault="00000000" w:rsidRPr="00000000" w14:paraId="0000001F">
            <w:pPr>
              <w:rPr>
                <w:rFonts w:ascii="Calibri" w:cs="Calibri" w:eastAsia="Calibri" w:hAnsi="Calibri"/>
              </w:rPr>
            </w:pPr>
            <w:r w:rsidDel="00000000" w:rsidR="00000000" w:rsidRPr="00000000">
              <w:rPr>
                <w:sz w:val="20"/>
                <w:szCs w:val="20"/>
                <w:rtl w:val="0"/>
              </w:rPr>
              <w:t xml:space="preserve">Polonia</w:t>
            </w:r>
            <w:r w:rsidDel="00000000" w:rsidR="00000000" w:rsidRPr="00000000">
              <w:rPr>
                <w:rtl w:val="0"/>
              </w:rPr>
            </w:r>
          </w:p>
        </w:tc>
        <w:tc>
          <w:tcPr>
            <w:tcBorders>
              <w:top w:color="000000" w:space="0" w:sz="0" w:val="nil"/>
              <w:left w:color="000000" w:space="0" w:sz="0" w:val="nil"/>
              <w:bottom w:color="cccccc" w:space="0" w:sz="8" w:val="single"/>
              <w:right w:color="cccccc" w:space="0" w:sz="8" w:val="single"/>
            </w:tcBorders>
            <w:shd w:fill="d9ead3" w:val="clear"/>
            <w:tcMar>
              <w:top w:w="30.0" w:type="dxa"/>
              <w:left w:w="45.0" w:type="dxa"/>
              <w:bottom w:w="30.0" w:type="dxa"/>
              <w:right w:w="45.0" w:type="dxa"/>
            </w:tcMar>
            <w:vAlign w:val="bottom"/>
          </w:tcPr>
          <w:p w:rsidR="00000000" w:rsidDel="00000000" w:rsidP="00000000" w:rsidRDefault="00000000" w:rsidRPr="00000000" w14:paraId="00000020">
            <w:pPr>
              <w:rPr>
                <w:rFonts w:ascii="Calibri" w:cs="Calibri" w:eastAsia="Calibri" w:hAnsi="Calibri"/>
              </w:rPr>
            </w:pPr>
            <w:r w:rsidDel="00000000" w:rsidR="00000000" w:rsidRPr="00000000">
              <w:rPr>
                <w:color w:val="000000"/>
                <w:sz w:val="20"/>
                <w:szCs w:val="20"/>
                <w:rtl w:val="0"/>
              </w:rPr>
              <w:t xml:space="preserve">72K</w:t>
            </w:r>
            <w:r w:rsidDel="00000000" w:rsidR="00000000" w:rsidRPr="00000000">
              <w:rPr>
                <w:rtl w:val="0"/>
              </w:rPr>
            </w:r>
          </w:p>
        </w:tc>
      </w:tr>
      <w:tr>
        <w:trPr>
          <w:cantSplit w:val="0"/>
          <w:trHeight w:val="315" w:hRule="atLeast"/>
          <w:tblHeader w:val="0"/>
        </w:trPr>
        <w:tc>
          <w:tcPr>
            <w:tcBorders>
              <w:top w:color="000000" w:space="0" w:sz="0" w:val="nil"/>
              <w:left w:color="cccccc" w:space="0" w:sz="8" w:val="single"/>
              <w:bottom w:color="cccccc" w:space="0" w:sz="8" w:val="single"/>
              <w:right w:color="cccccc" w:space="0" w:sz="8" w:val="single"/>
            </w:tcBorders>
            <w:tcMar>
              <w:top w:w="30.0" w:type="dxa"/>
              <w:left w:w="45.0" w:type="dxa"/>
              <w:bottom w:w="30.0" w:type="dxa"/>
              <w:right w:w="45.0" w:type="dxa"/>
            </w:tcMar>
            <w:vAlign w:val="bottom"/>
          </w:tcPr>
          <w:p w:rsidR="00000000" w:rsidDel="00000000" w:rsidP="00000000" w:rsidRDefault="00000000" w:rsidRPr="00000000" w14:paraId="00000021">
            <w:pPr>
              <w:rPr>
                <w:rFonts w:ascii="Calibri" w:cs="Calibri" w:eastAsia="Calibri" w:hAnsi="Calibri"/>
              </w:rPr>
            </w:pPr>
            <w:r w:rsidDel="00000000" w:rsidR="00000000" w:rsidRPr="00000000">
              <w:rPr>
                <w:sz w:val="20"/>
                <w:szCs w:val="20"/>
                <w:rtl w:val="0"/>
              </w:rPr>
              <w:t xml:space="preserve">Brasil (Invierno)</w:t>
            </w:r>
            <w:r w:rsidDel="00000000" w:rsidR="00000000" w:rsidRPr="00000000">
              <w:rPr>
                <w:rtl w:val="0"/>
              </w:rPr>
            </w:r>
          </w:p>
        </w:tc>
        <w:tc>
          <w:tcPr>
            <w:tcBorders>
              <w:top w:color="000000" w:space="0" w:sz="0" w:val="nil"/>
              <w:left w:color="000000" w:space="0" w:sz="0" w:val="nil"/>
              <w:bottom w:color="cccccc" w:space="0" w:sz="8" w:val="single"/>
              <w:right w:color="cccccc" w:space="0" w:sz="8" w:val="single"/>
            </w:tcBorders>
            <w:tcMar>
              <w:top w:w="30.0" w:type="dxa"/>
              <w:left w:w="45.0" w:type="dxa"/>
              <w:bottom w:w="30.0" w:type="dxa"/>
              <w:right w:w="45.0" w:type="dxa"/>
            </w:tcMar>
            <w:vAlign w:val="bottom"/>
          </w:tcPr>
          <w:p w:rsidR="00000000" w:rsidDel="00000000" w:rsidP="00000000" w:rsidRDefault="00000000" w:rsidRPr="00000000" w14:paraId="00000022">
            <w:pPr>
              <w:rPr>
                <w:rFonts w:ascii="Calibri" w:cs="Calibri" w:eastAsia="Calibri" w:hAnsi="Calibri"/>
              </w:rPr>
            </w:pPr>
            <w:r w:rsidDel="00000000" w:rsidR="00000000" w:rsidRPr="00000000">
              <w:rPr>
                <w:sz w:val="20"/>
                <w:szCs w:val="20"/>
                <w:rtl w:val="0"/>
              </w:rPr>
              <w:t xml:space="preserve">280K</w:t>
            </w:r>
            <w:r w:rsidDel="00000000" w:rsidR="00000000" w:rsidRPr="00000000">
              <w:rPr>
                <w:rtl w:val="0"/>
              </w:rPr>
            </w:r>
          </w:p>
        </w:tc>
      </w:tr>
    </w:tbl>
    <w:p w:rsidR="00000000" w:rsidDel="00000000" w:rsidP="00000000" w:rsidRDefault="00000000" w:rsidRPr="00000000" w14:paraId="00000023">
      <w:pPr>
        <w:spacing w:after="240" w:line="24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4">
      <w:pPr>
        <w:spacing w:after="240" w:line="24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5">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En cuanto a los pasajeros que han sufrido retrasos a nivel global desde mayo a julio, ascienden a 195 millones siendo 79 millones solo del mes de julio y a 33,6 millones los que han sufrido retrasos en este periodo, de los cuales 11,8 millones han sido afectados el pasado mes de julio. Esto supone un 5% de cancelaciones del total de vuelos. </w:t>
      </w:r>
    </w:p>
    <w:p w:rsidR="00000000" w:rsidDel="00000000" w:rsidP="00000000" w:rsidRDefault="00000000" w:rsidRPr="00000000" w14:paraId="00000026">
      <w:pPr>
        <w:spacing w:after="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Derechos de los pasajeros</w:t>
      </w:r>
    </w:p>
    <w:p w:rsidR="00000000" w:rsidDel="00000000" w:rsidP="00000000" w:rsidRDefault="00000000" w:rsidRPr="00000000" w14:paraId="00000027">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Tal y como se recuerda desde AirHelp, los pasajeros afectados por un retraso de tres o más horas tienen, por tanto, derecho a un transporte alternativo. La nueva reserva en otro vuelo debe ser realizada por la propia compañía aérea operadora. Los vuelos nacionales pueden reservarse opcionalmente en un billete de tren. </w:t>
      </w:r>
    </w:p>
    <w:p w:rsidR="00000000" w:rsidDel="00000000" w:rsidP="00000000" w:rsidRDefault="00000000" w:rsidRPr="00000000" w14:paraId="00000028">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Si la compañía aérea no actúa de oficio, los pasajeros afectados deben fijar un plazo de tres horas después de la hora de salida prevista. Si la petición sigue sin ser atendida, los viajeros pueden buscar sus propias alternativas y cobrar a la aerolínea los costes.</w:t>
      </w:r>
    </w:p>
    <w:p w:rsidR="00000000" w:rsidDel="00000000" w:rsidP="00000000" w:rsidRDefault="00000000" w:rsidRPr="00000000" w14:paraId="00000029">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 partir de un retraso de más de cinco horas o del transporte en un momento posterior, la aerolínea también está obligada a reembolsar el precio íntegro del billete. En caso de retrasos de más de dos horas y una distancia de vuelo de más de 1.500 kilómetros, la aerolínea operadora también debe proporcionar a los pasajeros comidas y bebidas en el aeropuerto. Además, debe posibilitar dos llamadas telefónicas o el envío de dos correos electrónicos. Si es necesario, la aerolínea también debe proporcionar alojamiento y transporte a la misma. En cualquier caso, se aconseja solicitar este servicio de suministro a la aerolínea.</w:t>
      </w:r>
    </w:p>
    <w:p w:rsidR="00000000" w:rsidDel="00000000" w:rsidP="00000000" w:rsidRDefault="00000000" w:rsidRPr="00000000" w14:paraId="0000002A">
      <w:pPr>
        <w:spacing w:after="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Compensaciones según la CE 261</w:t>
      </w:r>
    </w:p>
    <w:p w:rsidR="00000000" w:rsidDel="00000000" w:rsidP="00000000" w:rsidRDefault="00000000" w:rsidRPr="00000000" w14:paraId="0000002B">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Según establece la CE 261, las cancelaciones y los retrasos de los vuelos pueden dar derecho a indemnizaciones de hasta 600 euros por pasajero. El importe de la compensación se calcula en función de la duración del vuelo. El derecho de compensación depende de la duración real del retraso en el punto de llegada, así como del motivo del vuelo cancelado o retrasado. Los pasajeros afectados pueden hacer valer su reclamación de compensación con carácter retroactivo, hasta tres años después de la fecha de su vuelo.</w:t>
      </w:r>
    </w:p>
    <w:p w:rsidR="00000000" w:rsidDel="00000000" w:rsidP="00000000" w:rsidRDefault="00000000" w:rsidRPr="00000000" w14:paraId="0000002C">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Las circunstancias excepcionales, como las condiciones meteorológicas adversas o las urgencias médicas, pueden eximir a la compañía aérea de la obligación de compensación. Las huelgas, tanto las anunciadas como las no anunciadas, no forman parte de esto.</w:t>
      </w:r>
    </w:p>
    <w:p w:rsidR="00000000" w:rsidDel="00000000" w:rsidP="00000000" w:rsidRDefault="00000000" w:rsidRPr="00000000" w14:paraId="0000002D">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Recientemente AirHelp ha publicado una </w:t>
      </w:r>
      <w:r w:rsidDel="00000000" w:rsidR="00000000" w:rsidRPr="00000000">
        <w:rPr>
          <w:rFonts w:ascii="Calibri" w:cs="Calibri" w:eastAsia="Calibri" w:hAnsi="Calibri"/>
          <w:b w:val="1"/>
          <w:rtl w:val="0"/>
        </w:rPr>
        <w:t xml:space="preserve">Guía </w:t>
      </w:r>
      <w:r w:rsidDel="00000000" w:rsidR="00000000" w:rsidRPr="00000000">
        <w:rPr>
          <w:rFonts w:ascii="Calibri" w:cs="Calibri" w:eastAsia="Calibri" w:hAnsi="Calibri"/>
          <w:rtl w:val="0"/>
        </w:rPr>
        <w:t xml:space="preserve">que recoge los derechos de los pasajeros aéreos para que los viajeros estén informados. </w:t>
      </w:r>
      <w:hyperlink r:id="rId8">
        <w:r w:rsidDel="00000000" w:rsidR="00000000" w:rsidRPr="00000000">
          <w:rPr>
            <w:rFonts w:ascii="Calibri" w:cs="Calibri" w:eastAsia="Calibri" w:hAnsi="Calibri"/>
            <w:b w:val="1"/>
            <w:color w:val="0000ff"/>
            <w:u w:val="single"/>
            <w:rtl w:val="0"/>
          </w:rPr>
          <w:t xml:space="preserve">Puedes descargarte la Guía aquí</w:t>
        </w:r>
      </w:hyperlink>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2E">
      <w:pPr>
        <w:spacing w:after="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b w:val="1"/>
          <w:color w:val="262626"/>
          <w:sz w:val="18"/>
          <w:szCs w:val="18"/>
          <w:u w:val="single"/>
          <w:rtl w:val="0"/>
        </w:rPr>
        <w:t xml:space="preserve">Sobre AirHelp</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both"/>
        <w:rPr/>
      </w:pPr>
      <w:hyperlink r:id="rId9">
        <w:r w:rsidDel="00000000" w:rsidR="00000000" w:rsidRPr="00000000">
          <w:rPr>
            <w:color w:val="1155cc"/>
            <w:sz w:val="18"/>
            <w:szCs w:val="18"/>
            <w:u w:val="single"/>
            <w:rtl w:val="0"/>
          </w:rPr>
          <w:t xml:space="preserve">AirHelp</w:t>
        </w:r>
      </w:hyperlink>
      <w:r w:rsidDel="00000000" w:rsidR="00000000" w:rsidRPr="00000000">
        <w:rPr>
          <w:color w:val="000000"/>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16 millones de personas y opera en todo el mundo. Puede encontrar más información sobre AirHelp en: </w:t>
      </w:r>
      <w:hyperlink r:id="rId10">
        <w:r w:rsidDel="00000000" w:rsidR="00000000" w:rsidRPr="00000000">
          <w:rPr>
            <w:color w:val="1155cc"/>
            <w:sz w:val="18"/>
            <w:szCs w:val="18"/>
            <w:u w:val="single"/>
            <w:rtl w:val="0"/>
          </w:rPr>
          <w:t xml:space="preserve">www.airhelp.com/es/</w:t>
        </w:r>
      </w:hyperlink>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120" w:line="240" w:lineRule="auto"/>
        <w:jc w:val="both"/>
        <w:rPr>
          <w:rFonts w:ascii="Times New Roman" w:cs="Times New Roman" w:eastAsia="Times New Roman" w:hAnsi="Times New Roman"/>
          <w:sz w:val="24"/>
          <w:szCs w:val="24"/>
        </w:rPr>
      </w:pPr>
      <w:r w:rsidDel="00000000" w:rsidR="00000000" w:rsidRPr="00000000">
        <w:rPr>
          <w:b w:val="1"/>
          <w:color w:val="000000"/>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b w:val="1"/>
          <w:color w:val="000000"/>
          <w:sz w:val="18"/>
          <w:szCs w:val="18"/>
          <w:rtl w:val="0"/>
        </w:rPr>
        <w:t xml:space="preserve">Actitud de Comunicación: </w:t>
      </w:r>
      <w:r w:rsidDel="00000000" w:rsidR="00000000" w:rsidRPr="00000000">
        <w:rPr>
          <w:color w:val="000000"/>
          <w:sz w:val="18"/>
          <w:szCs w:val="18"/>
          <w:rtl w:val="0"/>
        </w:rPr>
        <w:t xml:space="preserve">Tel.: 91 302 28 60</w:t>
      </w:r>
      <w:r w:rsidDel="00000000" w:rsidR="00000000" w:rsidRPr="00000000">
        <w:rPr>
          <w:rtl w:val="0"/>
        </w:rPr>
      </w:r>
    </w:p>
    <w:p w:rsidR="00000000" w:rsidDel="00000000" w:rsidP="00000000" w:rsidRDefault="00000000" w:rsidRPr="00000000" w14:paraId="00000038">
      <w:pPr>
        <w:spacing w:after="200" w:line="240" w:lineRule="auto"/>
        <w:rPr>
          <w:rFonts w:ascii="Times New Roman" w:cs="Times New Roman" w:eastAsia="Times New Roman" w:hAnsi="Times New Roman"/>
          <w:sz w:val="24"/>
          <w:szCs w:val="24"/>
        </w:rPr>
      </w:pPr>
      <w:hyperlink r:id="rId11">
        <w:r w:rsidDel="00000000" w:rsidR="00000000" w:rsidRPr="00000000">
          <w:rPr>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12" w:type="default"/>
      <w:footerReference r:id="rId13"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ind w:right="-1032"/>
      <w:jc w:val="right"/>
      <w:rPr/>
    </w:pPr>
    <w:r w:rsidDel="00000000" w:rsidR="00000000" w:rsidRPr="00000000">
      <w:rPr/>
      <w:drawing>
        <wp:inline distB="0" distT="0" distL="0" distR="0">
          <wp:extent cx="1115657" cy="644122"/>
          <wp:effectExtent b="0" l="0" r="0" t="0"/>
          <wp:docPr descr="Código descuento AirHelp - 10€ menos en Julio 2022" id="5"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paragraph" w:styleId="Ttulo7">
    <w:name w:val="heading 7"/>
    <w:basedOn w:val="Normal"/>
    <w:next w:val="Normal"/>
    <w:link w:val="Ttulo7Car"/>
    <w:uiPriority w:val="9"/>
    <w:unhideWhenUsed w:val="1"/>
    <w:qFormat w:val="1"/>
    <w:rsid w:val="00023A42"/>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paragraph" w:styleId="Prrafodelista">
    <w:name w:val="List Paragraph"/>
    <w:basedOn w:val="Normal"/>
    <w:uiPriority w:val="34"/>
    <w:qFormat w:val="1"/>
    <w:rsid w:val="002E0C9F"/>
    <w:pPr>
      <w:ind w:left="720"/>
      <w:contextualSpacing w:val="1"/>
    </w:pPr>
  </w:style>
  <w:style w:type="character" w:styleId="Refdecomentario">
    <w:name w:val="annotation reference"/>
    <w:basedOn w:val="Fuentedeprrafopredeter"/>
    <w:uiPriority w:val="99"/>
    <w:semiHidden w:val="1"/>
    <w:unhideWhenUsed w:val="1"/>
    <w:rsid w:val="002E0C9F"/>
    <w:rPr>
      <w:sz w:val="16"/>
      <w:szCs w:val="16"/>
    </w:rPr>
  </w:style>
  <w:style w:type="paragraph" w:styleId="Textocomentario">
    <w:name w:val="annotation text"/>
    <w:basedOn w:val="Normal"/>
    <w:link w:val="TextocomentarioCar"/>
    <w:uiPriority w:val="99"/>
    <w:semiHidden w:val="1"/>
    <w:unhideWhenUsed w:val="1"/>
    <w:rsid w:val="002E0C9F"/>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E0C9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E0C9F"/>
    <w:rPr>
      <w:b w:val="1"/>
      <w:bCs w:val="1"/>
    </w:rPr>
  </w:style>
  <w:style w:type="character" w:styleId="AsuntodelcomentarioCar" w:customStyle="1">
    <w:name w:val="Asunto del comentario Car"/>
    <w:basedOn w:val="TextocomentarioCar"/>
    <w:link w:val="Asuntodelcomentario"/>
    <w:uiPriority w:val="99"/>
    <w:semiHidden w:val="1"/>
    <w:rsid w:val="002E0C9F"/>
    <w:rPr>
      <w:b w:val="1"/>
      <w:bCs w:val="1"/>
      <w:sz w:val="20"/>
      <w:szCs w:val="20"/>
    </w:rPr>
  </w:style>
  <w:style w:type="paragraph" w:styleId="Textodeglobo">
    <w:name w:val="Balloon Text"/>
    <w:basedOn w:val="Normal"/>
    <w:link w:val="TextodegloboCar"/>
    <w:uiPriority w:val="99"/>
    <w:semiHidden w:val="1"/>
    <w:unhideWhenUsed w:val="1"/>
    <w:rsid w:val="002E0C9F"/>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2E0C9F"/>
    <w:rPr>
      <w:rFonts w:ascii="Segoe UI" w:cs="Segoe UI" w:hAnsi="Segoe UI"/>
      <w:sz w:val="18"/>
      <w:szCs w:val="18"/>
    </w:rPr>
  </w:style>
  <w:style w:type="paragraph" w:styleId="NormalWeb">
    <w:name w:val="Normal (Web)"/>
    <w:basedOn w:val="Normal"/>
    <w:uiPriority w:val="99"/>
    <w:unhideWhenUsed w:val="1"/>
    <w:rsid w:val="00E5096F"/>
    <w:pPr>
      <w:spacing w:after="100" w:afterAutospacing="1" w:before="100" w:beforeAutospacing="1" w:line="240" w:lineRule="auto"/>
    </w:pPr>
    <w:rPr>
      <w:rFonts w:ascii="Times New Roman" w:cs="Times New Roman" w:eastAsia="Times New Roman" w:hAnsi="Times New Roman"/>
      <w:sz w:val="24"/>
      <w:szCs w:val="24"/>
    </w:rPr>
  </w:style>
  <w:style w:type="character" w:styleId="Hipervnculo">
    <w:name w:val="Hyperlink"/>
    <w:basedOn w:val="Fuentedeprrafopredeter"/>
    <w:uiPriority w:val="99"/>
    <w:unhideWhenUsed w:val="1"/>
    <w:rsid w:val="00E5096F"/>
    <w:rPr>
      <w:color w:val="0000ff"/>
      <w:u w:val="single"/>
    </w:rPr>
  </w:style>
  <w:style w:type="paragraph" w:styleId="Encabezado">
    <w:name w:val="header"/>
    <w:basedOn w:val="Normal"/>
    <w:link w:val="EncabezadoCar"/>
    <w:uiPriority w:val="99"/>
    <w:unhideWhenUsed w:val="1"/>
    <w:rsid w:val="00C221A0"/>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C221A0"/>
  </w:style>
  <w:style w:type="paragraph" w:styleId="Piedepgina">
    <w:name w:val="footer"/>
    <w:basedOn w:val="Normal"/>
    <w:link w:val="PiedepginaCar"/>
    <w:uiPriority w:val="99"/>
    <w:unhideWhenUsed w:val="1"/>
    <w:rsid w:val="00C221A0"/>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C221A0"/>
  </w:style>
  <w:style w:type="character" w:styleId="Hipervnculovisitado">
    <w:name w:val="FollowedHyperlink"/>
    <w:basedOn w:val="Fuentedeprrafopredeter"/>
    <w:uiPriority w:val="99"/>
    <w:semiHidden w:val="1"/>
    <w:unhideWhenUsed w:val="1"/>
    <w:rsid w:val="00AF7307"/>
    <w:rPr>
      <w:color w:val="800080" w:themeColor="followedHyperlink"/>
      <w:u w:val="single"/>
    </w:rPr>
  </w:style>
  <w:style w:type="paragraph" w:styleId="Sinespaciado">
    <w:name w:val="No Spacing"/>
    <w:uiPriority w:val="1"/>
    <w:qFormat w:val="1"/>
    <w:rsid w:val="00023A42"/>
    <w:pPr>
      <w:spacing w:line="240" w:lineRule="auto"/>
    </w:pPr>
  </w:style>
  <w:style w:type="character" w:styleId="Ttulo7Car" w:customStyle="1">
    <w:name w:val="Título 7 Car"/>
    <w:basedOn w:val="Fuentedeprrafopredeter"/>
    <w:link w:val="Ttulo7"/>
    <w:uiPriority w:val="9"/>
    <w:rsid w:val="00023A42"/>
    <w:rPr>
      <w:rFonts w:asciiTheme="majorHAnsi" w:cstheme="majorBidi" w:eastAsiaTheme="majorEastAsia" w:hAnsiTheme="majorHAnsi"/>
      <w:i w:val="1"/>
      <w:iCs w:val="1"/>
      <w:color w:val="404040" w:themeColor="text1" w:themeTint="0000BF"/>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irhelp@actitud.es" TargetMode="External"/><Relationship Id="rId10" Type="http://schemas.openxmlformats.org/officeDocument/2006/relationships/hyperlink" Target="http://www.airhelp.com/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Passenger_Rights_2022/APR_ES.pdf?ik-sdk-version=javascript-1.4.3&amp;updatedAt=16576112433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9fase9y1EXAzxQZWYTr1P1oQXA==">AMUW2mULNXdJlrhaDbNa2oq5i41a/X9sDjBYnJCh5V1U/78TZsVnlGIB9ilskyyUm9sDN42tRrTbZqWISs/ZuNbweobkbJjCppeoW3OtCYQQIRnynsUSpAfkn3wXh+O169tJwXq7shgZ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2022-08-09T13:04:00Z</dcterms:created>
  <dc:creator>Malu</dc:creator>
</cp:coreProperties>
</file>