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people.xml" ContentType="application/vnd.openxmlformats-officedocument.wordprocessingml.peop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70F811C" w14:textId="77777777" w:rsidR="00D03F3D" w:rsidRDefault="00D03F3D"/>
    <w:p w14:paraId="28D9020A" w14:textId="77777777" w:rsidR="00D03F3D" w:rsidRDefault="001438D7">
      <w:pPr>
        <w:rPr>
          <w:i/>
        </w:rPr>
      </w:pPr>
      <w:r>
        <w:rPr>
          <w:i/>
        </w:rPr>
        <w:t xml:space="preserve">La </w:t>
      </w:r>
      <w:proofErr w:type="spellStart"/>
      <w:r>
        <w:rPr>
          <w:i/>
        </w:rPr>
        <w:t>scaleup</w:t>
      </w:r>
      <w:proofErr w:type="spellEnd"/>
      <w:r>
        <w:rPr>
          <w:i/>
        </w:rPr>
        <w:t xml:space="preserve"> española especializada en la gestión integral y asesoramiento de viajes de negocios</w:t>
      </w:r>
    </w:p>
    <w:p w14:paraId="282FFEA5" w14:textId="77777777" w:rsidR="00D03F3D" w:rsidRDefault="00D03F3D">
      <w:pPr>
        <w:jc w:val="center"/>
        <w:rPr>
          <w:i/>
          <w:sz w:val="24"/>
          <w:szCs w:val="24"/>
        </w:rPr>
      </w:pPr>
    </w:p>
    <w:p w14:paraId="52300C98" w14:textId="67E6DFB3" w:rsidR="00D03F3D" w:rsidRDefault="00EB0F01">
      <w:pPr>
        <w:jc w:val="center"/>
        <w:rPr>
          <w:b/>
          <w:sz w:val="36"/>
          <w:szCs w:val="36"/>
        </w:rPr>
      </w:pPr>
      <w:proofErr w:type="spellStart"/>
      <w:r>
        <w:rPr>
          <w:b/>
          <w:sz w:val="36"/>
          <w:szCs w:val="36"/>
        </w:rPr>
        <w:t>Destinux</w:t>
      </w:r>
      <w:proofErr w:type="spellEnd"/>
      <w:r w:rsidR="001438D7">
        <w:rPr>
          <w:b/>
          <w:sz w:val="36"/>
          <w:szCs w:val="36"/>
        </w:rPr>
        <w:t xml:space="preserve"> </w:t>
      </w:r>
      <w:r w:rsidR="00EC24AB">
        <w:rPr>
          <w:b/>
          <w:sz w:val="36"/>
          <w:szCs w:val="36"/>
        </w:rPr>
        <w:t xml:space="preserve">implementa medidas contra el </w:t>
      </w:r>
      <w:proofErr w:type="spellStart"/>
      <w:r w:rsidR="00EC24AB">
        <w:rPr>
          <w:b/>
          <w:sz w:val="36"/>
          <w:szCs w:val="36"/>
        </w:rPr>
        <w:t>cibercrimen</w:t>
      </w:r>
      <w:proofErr w:type="spellEnd"/>
      <w:r w:rsidR="00EC24AB">
        <w:rPr>
          <w:b/>
          <w:sz w:val="36"/>
          <w:szCs w:val="36"/>
        </w:rPr>
        <w:t xml:space="preserve"> y </w:t>
      </w:r>
      <w:r w:rsidR="00C25864">
        <w:rPr>
          <w:b/>
          <w:sz w:val="36"/>
          <w:szCs w:val="36"/>
        </w:rPr>
        <w:t>amplía la oferta con nuevos acuerdos</w:t>
      </w:r>
      <w:r w:rsidR="00EC24AB">
        <w:rPr>
          <w:b/>
          <w:sz w:val="36"/>
          <w:szCs w:val="36"/>
        </w:rPr>
        <w:t xml:space="preserve"> </w:t>
      </w:r>
    </w:p>
    <w:p w14:paraId="15A6D008" w14:textId="77777777" w:rsidR="0060083D" w:rsidRDefault="0060083D">
      <w:pPr>
        <w:jc w:val="center"/>
        <w:rPr>
          <w:b/>
          <w:sz w:val="40"/>
          <w:szCs w:val="40"/>
        </w:rPr>
      </w:pPr>
    </w:p>
    <w:p w14:paraId="78424CBD" w14:textId="7E37E9AA" w:rsidR="0060083D" w:rsidRDefault="007E583D" w:rsidP="0060083D">
      <w:pPr>
        <w:pStyle w:val="Prrafodelista"/>
        <w:numPr>
          <w:ilvl w:val="0"/>
          <w:numId w:val="4"/>
        </w:numPr>
        <w:rPr>
          <w:rFonts w:ascii="Calibri" w:hAnsi="Calibri" w:cs="Calibri"/>
          <w:b/>
          <w:color w:val="000000"/>
        </w:rPr>
      </w:pPr>
      <w:proofErr w:type="spellStart"/>
      <w:r>
        <w:rPr>
          <w:rFonts w:ascii="Calibri" w:hAnsi="Calibri" w:cs="Calibri"/>
          <w:b/>
          <w:color w:val="000000"/>
        </w:rPr>
        <w:t>Destinux</w:t>
      </w:r>
      <w:proofErr w:type="spellEnd"/>
      <w:r>
        <w:rPr>
          <w:rFonts w:ascii="Calibri" w:hAnsi="Calibri" w:cs="Calibri"/>
          <w:b/>
          <w:color w:val="000000"/>
        </w:rPr>
        <w:t>, l</w:t>
      </w:r>
      <w:r w:rsidRPr="0060083D">
        <w:rPr>
          <w:rFonts w:ascii="Calibri" w:hAnsi="Calibri" w:cs="Calibri"/>
          <w:b/>
          <w:color w:val="000000"/>
        </w:rPr>
        <w:t xml:space="preserve">a </w:t>
      </w:r>
      <w:r w:rsidR="0060083D" w:rsidRPr="0060083D">
        <w:rPr>
          <w:rFonts w:ascii="Calibri" w:hAnsi="Calibri" w:cs="Calibri"/>
          <w:b/>
          <w:color w:val="000000"/>
        </w:rPr>
        <w:t xml:space="preserve">solución de Consultia Business Travel, incorpora </w:t>
      </w:r>
      <w:r>
        <w:rPr>
          <w:rFonts w:ascii="Calibri" w:hAnsi="Calibri" w:cs="Calibri"/>
          <w:b/>
          <w:color w:val="000000"/>
        </w:rPr>
        <w:t xml:space="preserve">nuevas funcionalidades como consecuencia de </w:t>
      </w:r>
      <w:r w:rsidR="0060083D" w:rsidRPr="0060083D">
        <w:rPr>
          <w:rFonts w:ascii="Calibri" w:hAnsi="Calibri" w:cs="Calibri"/>
          <w:b/>
          <w:color w:val="000000"/>
        </w:rPr>
        <w:t xml:space="preserve"> nuevas alianzas de la compañía con Microsoft y Google, para afrontar los retos de ciberseguridad</w:t>
      </w:r>
    </w:p>
    <w:p w14:paraId="7F9EE35E" w14:textId="77777777" w:rsidR="00C25864" w:rsidRPr="0060083D" w:rsidRDefault="00C25864" w:rsidP="00C25864">
      <w:pPr>
        <w:pStyle w:val="Prrafodelista"/>
        <w:ind w:left="360"/>
        <w:rPr>
          <w:rFonts w:ascii="Calibri" w:hAnsi="Calibri" w:cs="Calibri"/>
          <w:b/>
          <w:color w:val="000000"/>
        </w:rPr>
      </w:pPr>
    </w:p>
    <w:p w14:paraId="365C3009" w14:textId="420C2B53" w:rsidR="00D03F3D" w:rsidRPr="0060083D" w:rsidRDefault="001438D7" w:rsidP="00C25864">
      <w:pPr>
        <w:numPr>
          <w:ilvl w:val="0"/>
          <w:numId w:val="4"/>
        </w:numPr>
        <w:pBdr>
          <w:top w:val="nil"/>
          <w:left w:val="nil"/>
          <w:bottom w:val="nil"/>
          <w:right w:val="nil"/>
          <w:between w:val="nil"/>
        </w:pBdr>
        <w:rPr>
          <w:b/>
          <w:i/>
          <w:color w:val="000000"/>
        </w:rPr>
      </w:pPr>
      <w:r w:rsidRPr="00973785">
        <w:rPr>
          <w:b/>
          <w:i/>
          <w:color w:val="000000"/>
        </w:rPr>
        <w:t xml:space="preserve">Single </w:t>
      </w:r>
      <w:proofErr w:type="spellStart"/>
      <w:r w:rsidRPr="00973785">
        <w:rPr>
          <w:b/>
          <w:i/>
          <w:color w:val="000000"/>
        </w:rPr>
        <w:t>Sign-on</w:t>
      </w:r>
      <w:proofErr w:type="spellEnd"/>
      <w:r w:rsidRPr="00973785">
        <w:rPr>
          <w:b/>
          <w:i/>
          <w:color w:val="000000"/>
        </w:rPr>
        <w:t>,</w:t>
      </w:r>
      <w:r w:rsidRPr="0060083D">
        <w:rPr>
          <w:b/>
          <w:color w:val="000000"/>
        </w:rPr>
        <w:t xml:space="preserve"> </w:t>
      </w:r>
      <w:r w:rsidR="0060083D" w:rsidRPr="0060083D">
        <w:rPr>
          <w:b/>
          <w:color w:val="000000"/>
        </w:rPr>
        <w:t>reservas</w:t>
      </w:r>
      <w:r w:rsidRPr="0060083D">
        <w:rPr>
          <w:b/>
          <w:color w:val="000000"/>
        </w:rPr>
        <w:t xml:space="preserve"> de apartamentos o la integración con Balearia, son algunos de los nuevos desarrollos</w:t>
      </w:r>
      <w:r w:rsidR="00C25864">
        <w:rPr>
          <w:b/>
          <w:color w:val="000000"/>
        </w:rPr>
        <w:t xml:space="preserve"> para dar respuesta a las necesidades de sus clientes</w:t>
      </w:r>
    </w:p>
    <w:p w14:paraId="09AB9420" w14:textId="77777777" w:rsidR="00D03F3D" w:rsidRDefault="00D03F3D">
      <w:pPr>
        <w:rPr>
          <w:b/>
          <w:sz w:val="24"/>
          <w:szCs w:val="24"/>
        </w:rPr>
      </w:pPr>
    </w:p>
    <w:p w14:paraId="165E54B6" w14:textId="3E21A43E" w:rsidR="00D03F3D" w:rsidRDefault="001438D7">
      <w:pPr>
        <w:shd w:val="clear" w:color="auto" w:fill="FFFFFF"/>
      </w:pPr>
      <w:r>
        <w:rPr>
          <w:b/>
        </w:rPr>
        <w:t xml:space="preserve">Madrid, </w:t>
      </w:r>
      <w:r w:rsidR="00413FF6">
        <w:rPr>
          <w:b/>
        </w:rPr>
        <w:t xml:space="preserve">25 </w:t>
      </w:r>
      <w:r>
        <w:rPr>
          <w:b/>
        </w:rPr>
        <w:t xml:space="preserve">de octubre de 2023. </w:t>
      </w:r>
      <w:r>
        <w:t>Los ciberataques se han convertido en una de las mayores amenazas para la seguridad y privacidad en el mundo digital, cuyo coste a las empresas  españolas aumentó un 43% el año pasado. Por esta razón, las empresas tienen cada vez una mayor responsabilidad en la prevención y protección contra el cibercrimen ya que tienen el deber de garantizar la seguridad de los datos, tanto de sus clientes como de sus empleados</w:t>
      </w:r>
      <w:r w:rsidR="00280F0A">
        <w:t>, y no queda exenta el área de viajes</w:t>
      </w:r>
      <w:r>
        <w:t>.</w:t>
      </w:r>
    </w:p>
    <w:p w14:paraId="3BE48FBA" w14:textId="77777777" w:rsidR="00D03F3D" w:rsidRDefault="00D03F3D">
      <w:pPr>
        <w:shd w:val="clear" w:color="auto" w:fill="FFFFFF"/>
      </w:pPr>
    </w:p>
    <w:p w14:paraId="4A6AA298" w14:textId="7D283EBB" w:rsidR="00D03F3D" w:rsidRDefault="001438D7">
      <w:pPr>
        <w:shd w:val="clear" w:color="auto" w:fill="FFFFFF"/>
      </w:pPr>
      <w:r>
        <w:t>Como respuesta a esta necesidad,</w:t>
      </w:r>
      <w:hyperlink r:id="rId9">
        <w:r>
          <w:rPr>
            <w:color w:val="1155CC"/>
            <w:u w:val="single"/>
          </w:rPr>
          <w:t xml:space="preserve"> </w:t>
        </w:r>
      </w:hyperlink>
      <w:hyperlink r:id="rId10">
        <w:r>
          <w:rPr>
            <w:b/>
            <w:color w:val="1155CC"/>
            <w:u w:val="single"/>
          </w:rPr>
          <w:t>Consultia Business Travel</w:t>
        </w:r>
      </w:hyperlink>
      <w:r>
        <w:t xml:space="preserve">, la compañía española especializada en la gestión integral de viajes de negocios, ha incorporado nuevas funcionalidades enfocadas a obtener toda la información de acceso y reservas consolidadas en un único sistema con el fin de reforzar la seguridad y eficiencia de su solución Destinux.  Estos desarrollos tecnológicos vienen acompañados de nuevos acuerdos y alianzas estratégicas que les permiten dar respuesta a las crecientes necesidades de sus clientes:  </w:t>
      </w:r>
    </w:p>
    <w:p w14:paraId="77EC7AC1" w14:textId="77777777" w:rsidR="00D03F3D" w:rsidRDefault="00D03F3D">
      <w:pPr>
        <w:shd w:val="clear" w:color="auto" w:fill="FFFFFF"/>
      </w:pPr>
    </w:p>
    <w:p w14:paraId="462E40A3" w14:textId="77777777" w:rsidR="00D03F3D" w:rsidRDefault="001438D7">
      <w:pPr>
        <w:numPr>
          <w:ilvl w:val="0"/>
          <w:numId w:val="1"/>
        </w:numPr>
        <w:pBdr>
          <w:top w:val="nil"/>
          <w:left w:val="nil"/>
          <w:bottom w:val="nil"/>
          <w:right w:val="nil"/>
          <w:between w:val="nil"/>
        </w:pBdr>
        <w:shd w:val="clear" w:color="auto" w:fill="FFFFFF"/>
        <w:rPr>
          <w:color w:val="000000"/>
        </w:rPr>
      </w:pPr>
      <w:r>
        <w:rPr>
          <w:b/>
          <w:i/>
          <w:color w:val="000000"/>
        </w:rPr>
        <w:t xml:space="preserve">Single </w:t>
      </w:r>
      <w:proofErr w:type="spellStart"/>
      <w:r>
        <w:rPr>
          <w:b/>
          <w:i/>
          <w:color w:val="000000"/>
        </w:rPr>
        <w:t>sign-on</w:t>
      </w:r>
      <w:proofErr w:type="spellEnd"/>
      <w:r>
        <w:rPr>
          <w:color w:val="000000"/>
        </w:rPr>
        <w:t>: permite el uso de sesión único y unificado a todas las aplicaciones d</w:t>
      </w:r>
      <w:r>
        <w:t xml:space="preserve">e </w:t>
      </w:r>
      <w:r>
        <w:rPr>
          <w:color w:val="000000"/>
        </w:rPr>
        <w:t xml:space="preserve">la empresa sin necesidad de memorizar varias credenciales o reutilizar contraseñas. La compañía </w:t>
      </w:r>
      <w:r>
        <w:t xml:space="preserve">ha implementado </w:t>
      </w:r>
      <w:r>
        <w:rPr>
          <w:color w:val="000000"/>
        </w:rPr>
        <w:t xml:space="preserve">el inicio de sesión único tanto con Microsoft </w:t>
      </w:r>
      <w:r>
        <w:t xml:space="preserve">como con </w:t>
      </w:r>
      <w:r>
        <w:rPr>
          <w:color w:val="000000"/>
        </w:rPr>
        <w:t xml:space="preserve"> Google, de forma que todas las empresas que tengan cuentas corporativas en estos dos proveedores podrán acceder a Destinux desde estas cuentas consiguiendo una mayor seguridad tanto para la empresa como para el usuario. </w:t>
      </w:r>
    </w:p>
    <w:p w14:paraId="7772973C" w14:textId="77777777" w:rsidR="00D03F3D" w:rsidRDefault="00D03F3D">
      <w:pPr>
        <w:shd w:val="clear" w:color="auto" w:fill="FFFFFF"/>
      </w:pPr>
    </w:p>
    <w:p w14:paraId="0220D9D4" w14:textId="0BFB8698" w:rsidR="00D03F3D" w:rsidRDefault="001438D7">
      <w:pPr>
        <w:numPr>
          <w:ilvl w:val="0"/>
          <w:numId w:val="1"/>
        </w:numPr>
        <w:pBdr>
          <w:top w:val="nil"/>
          <w:left w:val="nil"/>
          <w:bottom w:val="nil"/>
          <w:right w:val="nil"/>
          <w:between w:val="nil"/>
        </w:pBdr>
        <w:spacing w:before="195" w:after="195"/>
        <w:rPr>
          <w:color w:val="000000"/>
        </w:rPr>
      </w:pPr>
      <w:r>
        <w:rPr>
          <w:b/>
          <w:color w:val="000000"/>
        </w:rPr>
        <w:t>Consolidador de apartamentos</w:t>
      </w:r>
      <w:r>
        <w:rPr>
          <w:b/>
        </w:rPr>
        <w:t xml:space="preserve">: </w:t>
      </w:r>
      <w:r>
        <w:t xml:space="preserve">con este nuevo desarrollo, la compañía amplía la oferta de Destinux con el fin de mejorar tanto la experiencia de viajeros como la eficiencia de la empresa, </w:t>
      </w:r>
      <w:r>
        <w:rPr>
          <w:color w:val="000000"/>
        </w:rPr>
        <w:t xml:space="preserve"> que a partir de ahora p</w:t>
      </w:r>
      <w:r>
        <w:t>ueden</w:t>
      </w:r>
      <w:r>
        <w:rPr>
          <w:color w:val="000000"/>
        </w:rPr>
        <w:t xml:space="preserve"> realizar sus reservas en este tipo de alojamientos cada vez más demandados por motivos de comodidad, flexibilidad y precio.  Esta funcionalidad supone además una mayor seguridad tanto para la empresa como para el viajero de negocios ya que </w:t>
      </w:r>
      <w:r>
        <w:t xml:space="preserve">les permite tener todas las </w:t>
      </w:r>
      <w:r>
        <w:rPr>
          <w:color w:val="000000"/>
        </w:rPr>
        <w:t>reservas consolidadas en un único sistema</w:t>
      </w:r>
      <w:r>
        <w:t xml:space="preserve"> sin utilizar </w:t>
      </w:r>
      <w:r>
        <w:rPr>
          <w:color w:val="000000"/>
        </w:rPr>
        <w:t>sus</w:t>
      </w:r>
      <w:r>
        <w:t xml:space="preserve"> </w:t>
      </w:r>
      <w:r>
        <w:rPr>
          <w:color w:val="000000"/>
        </w:rPr>
        <w:t xml:space="preserve">tarjetas </w:t>
      </w:r>
      <w:r>
        <w:t xml:space="preserve">o datos bancarios </w:t>
      </w:r>
      <w:r w:rsidR="00280F0A">
        <w:rPr>
          <w:color w:val="000000"/>
        </w:rPr>
        <w:t xml:space="preserve">puesto </w:t>
      </w:r>
      <w:r>
        <w:rPr>
          <w:color w:val="000000"/>
        </w:rPr>
        <w:t xml:space="preserve">que los pagos se efectúan a través de tarjetas o plataformas establecidas con la industria por Consultia Business Travel. </w:t>
      </w:r>
    </w:p>
    <w:p w14:paraId="41514566" w14:textId="60C37FF0" w:rsidR="00D03F3D" w:rsidRDefault="001438D7">
      <w:pPr>
        <w:numPr>
          <w:ilvl w:val="0"/>
          <w:numId w:val="2"/>
        </w:numPr>
        <w:spacing w:before="280" w:after="280"/>
        <w:rPr>
          <w:rFonts w:ascii="Arial" w:eastAsia="Arial" w:hAnsi="Arial" w:cs="Arial"/>
          <w:color w:val="000000"/>
          <w:sz w:val="23"/>
          <w:szCs w:val="23"/>
        </w:rPr>
      </w:pPr>
      <w:r>
        <w:rPr>
          <w:b/>
        </w:rPr>
        <w:t>Integración de Bale</w:t>
      </w:r>
      <w:r w:rsidR="00280F0A">
        <w:rPr>
          <w:b/>
        </w:rPr>
        <w:t>a</w:t>
      </w:r>
      <w:r>
        <w:rPr>
          <w:b/>
        </w:rPr>
        <w:t>ria</w:t>
      </w:r>
      <w:r>
        <w:t xml:space="preserve">: este nuevo servicio permite que tanto empresas como sus viajeros de negocios que, por sus necesidades de trabajo o localización geográfica, </w:t>
      </w:r>
      <w:r>
        <w:lastRenderedPageBreak/>
        <w:t>prefieran utilizar el barco como forma de transporte tengan ahora integrado en el mismo sistema sus reservas con Balearia disfrutando de las ventajas de pago seguro (sin utilizar sus tarjetas bancarias personales) y con la facilidad de uso de Destinux</w:t>
      </w:r>
      <w:r w:rsidR="00280F0A">
        <w:t xml:space="preserve"> y un sistema centralizado</w:t>
      </w:r>
      <w:r>
        <w:t>. Este servicio es posible gracias a la creación de un consolidador naviero que permite conectar con el proveedor, obtener la información, procesarla y mostrarla al usuario de forma homogénea, organizada y segura.</w:t>
      </w:r>
    </w:p>
    <w:p w14:paraId="65E03A6A" w14:textId="45EACF1E" w:rsidR="00D03F3D" w:rsidRDefault="001438D7">
      <w:pPr>
        <w:numPr>
          <w:ilvl w:val="0"/>
          <w:numId w:val="3"/>
        </w:numPr>
        <w:pBdr>
          <w:top w:val="nil"/>
          <w:left w:val="nil"/>
          <w:bottom w:val="nil"/>
          <w:right w:val="nil"/>
          <w:between w:val="nil"/>
        </w:pBdr>
        <w:spacing w:before="195" w:after="195"/>
        <w:rPr>
          <w:color w:val="000000"/>
        </w:rPr>
      </w:pPr>
      <w:bookmarkStart w:id="0" w:name="_heading=h.gjdgxs" w:colFirst="0" w:colLast="0"/>
      <w:bookmarkEnd w:id="0"/>
      <w:r>
        <w:rPr>
          <w:b/>
          <w:color w:val="000000"/>
        </w:rPr>
        <w:t xml:space="preserve">Ventajas exclusivas en </w:t>
      </w:r>
      <w:proofErr w:type="spellStart"/>
      <w:r>
        <w:rPr>
          <w:b/>
          <w:color w:val="000000"/>
        </w:rPr>
        <w:t>Iryo</w:t>
      </w:r>
      <w:proofErr w:type="spellEnd"/>
      <w:r>
        <w:rPr>
          <w:b/>
          <w:color w:val="000000"/>
        </w:rPr>
        <w:t xml:space="preserve"> para clientes de Destinux</w:t>
      </w:r>
      <w:r>
        <w:rPr>
          <w:color w:val="000000"/>
        </w:rPr>
        <w:t>:</w:t>
      </w:r>
      <w:r>
        <w:t xml:space="preserve"> tras </w:t>
      </w:r>
      <w:r w:rsidR="00280F0A">
        <w:t xml:space="preserve">ser pioneros en </w:t>
      </w:r>
      <w:r>
        <w:rPr>
          <w:color w:val="000000"/>
        </w:rPr>
        <w:t xml:space="preserve">integrar a la nueva compañía de trenes de </w:t>
      </w:r>
      <w:r>
        <w:t>A</w:t>
      </w:r>
      <w:r>
        <w:rPr>
          <w:color w:val="000000"/>
        </w:rPr>
        <w:t xml:space="preserve">lta </w:t>
      </w:r>
      <w:r>
        <w:t>V</w:t>
      </w:r>
      <w:r>
        <w:rPr>
          <w:color w:val="000000"/>
        </w:rPr>
        <w:t>elocidad en su solución Destinux, Consultia Business Travel ha desarrollado una política de ventajas para sus clientes que les permite beneficiarse de tarifas especiales</w:t>
      </w:r>
      <w:r>
        <w:t>.</w:t>
      </w:r>
    </w:p>
    <w:p w14:paraId="662DD59D" w14:textId="77777777" w:rsidR="00D03F3D" w:rsidRDefault="00D03F3D">
      <w:pPr>
        <w:pBdr>
          <w:top w:val="nil"/>
          <w:left w:val="nil"/>
          <w:bottom w:val="nil"/>
          <w:right w:val="nil"/>
          <w:between w:val="nil"/>
        </w:pBdr>
        <w:spacing w:before="195" w:after="195"/>
        <w:ind w:left="720"/>
        <w:rPr>
          <w:color w:val="000000"/>
        </w:rPr>
      </w:pPr>
    </w:p>
    <w:p w14:paraId="0768D177" w14:textId="7D2C9106" w:rsidR="00D03F3D" w:rsidRDefault="001438D7">
      <w:pPr>
        <w:shd w:val="clear" w:color="auto" w:fill="FFFFFF"/>
      </w:pPr>
      <w:bookmarkStart w:id="1" w:name="_GoBack"/>
      <w:r>
        <w:t>Con estas nuevas h</w:t>
      </w:r>
      <w:r>
        <w:rPr>
          <w:color w:val="000000"/>
        </w:rPr>
        <w:t xml:space="preserve">erramientas, Destinux </w:t>
      </w:r>
      <w:r>
        <w:t xml:space="preserve">completa y amplía sus servicios en un momento de crecimiento y expansión internacional de la compañía que acaba de anunciar su llegada a tres nuevos países europeos con un modelo de gestión integral digital </w:t>
      </w:r>
      <w:r w:rsidR="00280F0A">
        <w:t>que incluye el acompañamiento humano de un profesional del sector</w:t>
      </w:r>
      <w:r w:rsidR="0060083D">
        <w:t xml:space="preserve"> </w:t>
      </w:r>
      <w:r>
        <w:t xml:space="preserve">que ha revolucionado el </w:t>
      </w:r>
      <w:proofErr w:type="spellStart"/>
      <w:r>
        <w:rPr>
          <w:i/>
        </w:rPr>
        <w:t>business</w:t>
      </w:r>
      <w:proofErr w:type="spellEnd"/>
      <w:r>
        <w:rPr>
          <w:i/>
        </w:rPr>
        <w:t xml:space="preserve"> Travel</w:t>
      </w:r>
      <w:r>
        <w:t xml:space="preserve"> en los últimos años.</w:t>
      </w:r>
    </w:p>
    <w:p w14:paraId="5B386525" w14:textId="77777777" w:rsidR="00D03F3D" w:rsidRDefault="00D03F3D">
      <w:pPr>
        <w:shd w:val="clear" w:color="auto" w:fill="FFFFFF"/>
      </w:pPr>
    </w:p>
    <w:p w14:paraId="1D8D2F02" w14:textId="59003BCA" w:rsidR="00D03F3D" w:rsidRPr="00413FF6" w:rsidRDefault="001438D7">
      <w:pPr>
        <w:shd w:val="clear" w:color="auto" w:fill="FFFFFF"/>
      </w:pPr>
      <w:r>
        <w:t>Según palabras de Carlos Martínez, CEO de Consultia Business Travel</w:t>
      </w:r>
      <w:proofErr w:type="gramStart"/>
      <w:r w:rsidRPr="00413FF6">
        <w:t>, ”</w:t>
      </w:r>
      <w:proofErr w:type="gramEnd"/>
      <w:r w:rsidRPr="00413FF6">
        <w:t xml:space="preserve">con estas mejoras en Destinux queremos contribuir a la seguridad </w:t>
      </w:r>
      <w:r w:rsidR="00280F0A" w:rsidRPr="00413FF6">
        <w:t>digital y bienestar de nuestros</w:t>
      </w:r>
      <w:r w:rsidRPr="00413FF6">
        <w:t xml:space="preserve"> clientes</w:t>
      </w:r>
      <w:r w:rsidR="00405D7B" w:rsidRPr="00413FF6">
        <w:t xml:space="preserve"> y</w:t>
      </w:r>
      <w:r w:rsidRPr="00413FF6">
        <w:t xml:space="preserve"> </w:t>
      </w:r>
      <w:r w:rsidR="00280F0A" w:rsidRPr="00413FF6">
        <w:t>seguir a la vanguardia</w:t>
      </w:r>
      <w:r w:rsidR="0060083D" w:rsidRPr="00413FF6">
        <w:t xml:space="preserve"> </w:t>
      </w:r>
      <w:r w:rsidRPr="00413FF6">
        <w:t>para satisfacer las necesidades actuales de las empresas”.</w:t>
      </w:r>
    </w:p>
    <w:p w14:paraId="4C512F26" w14:textId="77777777" w:rsidR="00D03F3D" w:rsidRDefault="00D03F3D">
      <w:pPr>
        <w:shd w:val="clear" w:color="auto" w:fill="FFFFFF"/>
      </w:pPr>
    </w:p>
    <w:p w14:paraId="618AB352" w14:textId="77777777" w:rsidR="00D03F3D" w:rsidRDefault="001438D7">
      <w:pPr>
        <w:shd w:val="clear" w:color="auto" w:fill="FFFFFF"/>
      </w:pPr>
      <w:r>
        <w:t xml:space="preserve">La compañía ha simplificado además recientemente su oferta comercial con el fin de seguir evolucionando y avanzando para ofrecer el mejor servicio en la gestión de los viajes de negocios a todo tipo de empresas, independientemente de su tamaño o ubicación. </w:t>
      </w:r>
    </w:p>
    <w:bookmarkEnd w:id="1"/>
    <w:p w14:paraId="210E4DEC" w14:textId="77777777" w:rsidR="00D03F3D" w:rsidRDefault="00D03F3D">
      <w:pPr>
        <w:ind w:right="-285"/>
        <w:jc w:val="both"/>
      </w:pPr>
    </w:p>
    <w:p w14:paraId="3CD01740" w14:textId="77777777" w:rsidR="00D03F3D" w:rsidRDefault="00D03F3D">
      <w:pPr>
        <w:ind w:right="-291"/>
        <w:jc w:val="both"/>
        <w:rPr>
          <w:b/>
          <w:color w:val="000000"/>
          <w:sz w:val="18"/>
          <w:szCs w:val="18"/>
          <w:u w:val="single"/>
        </w:rPr>
      </w:pPr>
    </w:p>
    <w:p w14:paraId="1618B4CA" w14:textId="77777777" w:rsidR="00D03F3D" w:rsidRDefault="001438D7">
      <w:pPr>
        <w:ind w:right="-291"/>
        <w:jc w:val="both"/>
        <w:rPr>
          <w:b/>
          <w:color w:val="000000"/>
          <w:sz w:val="18"/>
          <w:szCs w:val="18"/>
          <w:u w:val="single"/>
        </w:rPr>
      </w:pPr>
      <w:r>
        <w:rPr>
          <w:b/>
          <w:color w:val="000000"/>
          <w:sz w:val="18"/>
          <w:szCs w:val="18"/>
          <w:u w:val="single"/>
        </w:rPr>
        <w:t>Sobre Consultia Business Travel</w:t>
      </w:r>
    </w:p>
    <w:p w14:paraId="4CDC683F" w14:textId="77777777" w:rsidR="00D03F3D" w:rsidRDefault="00D03F3D">
      <w:pPr>
        <w:ind w:right="-291"/>
        <w:jc w:val="both"/>
        <w:rPr>
          <w:b/>
          <w:color w:val="000000"/>
          <w:sz w:val="18"/>
          <w:szCs w:val="18"/>
          <w:u w:val="single"/>
        </w:rPr>
      </w:pPr>
    </w:p>
    <w:p w14:paraId="3E9821F0" w14:textId="77777777" w:rsidR="00D03F3D" w:rsidRDefault="001438D7">
      <w:pPr>
        <w:rPr>
          <w:sz w:val="20"/>
          <w:szCs w:val="20"/>
        </w:rPr>
      </w:pPr>
      <w:r>
        <w:rPr>
          <w:sz w:val="20"/>
          <w:szCs w:val="2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w:t>
      </w:r>
      <w:proofErr w:type="spellStart"/>
      <w:r>
        <w:rPr>
          <w:sz w:val="20"/>
          <w:szCs w:val="20"/>
        </w:rPr>
        <w:t>Assistant</w:t>
      </w:r>
      <w:proofErr w:type="spellEnd"/>
      <w:r>
        <w:rPr>
          <w:sz w:val="20"/>
          <w:szCs w:val="20"/>
        </w:rPr>
        <w:t xml:space="preserve">), ofrece una solución integral para la gestión de los viajes de empresa. Además, de gestionar las necesidades de reuniones, incentivos, congresos y eventos (MICE) que la empresa necesite. </w:t>
      </w:r>
    </w:p>
    <w:p w14:paraId="6D5AC0FD" w14:textId="77777777" w:rsidR="00D03F3D" w:rsidRDefault="001438D7">
      <w:pPr>
        <w:rPr>
          <w:sz w:val="20"/>
          <w:szCs w:val="20"/>
        </w:rPr>
      </w:pPr>
      <w:r>
        <w:rPr>
          <w:sz w:val="20"/>
          <w:szCs w:val="20"/>
        </w:rPr>
        <w:t xml:space="preserve">La compañía, de capital español y fundada en 2010, cuenta actualmente con sedes en España y Portugal y presencia en 7 países. La </w:t>
      </w:r>
      <w:proofErr w:type="spellStart"/>
      <w:r>
        <w:rPr>
          <w:sz w:val="20"/>
          <w:szCs w:val="20"/>
        </w:rPr>
        <w:t>startup</w:t>
      </w:r>
      <w:proofErr w:type="spellEnd"/>
      <w:r>
        <w:rPr>
          <w:sz w:val="20"/>
          <w:szCs w:val="20"/>
        </w:rPr>
        <w:t xml:space="preserve"> en fase </w:t>
      </w:r>
      <w:proofErr w:type="spellStart"/>
      <w:r>
        <w:rPr>
          <w:sz w:val="20"/>
          <w:szCs w:val="20"/>
        </w:rPr>
        <w:t>Growth</w:t>
      </w:r>
      <w:proofErr w:type="spellEnd"/>
      <w:r>
        <w:rPr>
          <w:sz w:val="20"/>
          <w:szCs w:val="20"/>
        </w:rPr>
        <w:t xml:space="preserve"> </w:t>
      </w:r>
      <w:proofErr w:type="spellStart"/>
      <w:r>
        <w:rPr>
          <w:sz w:val="20"/>
          <w:szCs w:val="20"/>
        </w:rPr>
        <w:t>Stage</w:t>
      </w:r>
      <w:proofErr w:type="spellEnd"/>
      <w:r>
        <w:rPr>
          <w:sz w:val="20"/>
          <w:szCs w:val="20"/>
        </w:rPr>
        <w:t>, ha integrado en su potente sistema de gestión cerca de 3 millones de hoteles, más de 600 compañías aéreas, 27 compañías de alquiler de coches distribuidas por todo el mundo y traslados privados en más de 160 países, trenes, barcos y taxis y VTC en más de 90 estados, con lo que consigue una conectividad online y eficiencia que destacan en el mercado del viaje de empresa.</w:t>
      </w:r>
    </w:p>
    <w:p w14:paraId="4DAA8AB8" w14:textId="77777777" w:rsidR="00D03F3D" w:rsidRDefault="00D03F3D">
      <w:pPr>
        <w:ind w:right="-285"/>
        <w:jc w:val="both"/>
        <w:rPr>
          <w:color w:val="000000"/>
          <w:sz w:val="18"/>
          <w:szCs w:val="18"/>
        </w:rPr>
      </w:pPr>
    </w:p>
    <w:p w14:paraId="22988266" w14:textId="77777777" w:rsidR="00D03F3D" w:rsidRDefault="00D03F3D">
      <w:pPr>
        <w:ind w:right="-285"/>
        <w:jc w:val="both"/>
        <w:rPr>
          <w:b/>
          <w:color w:val="000000"/>
          <w:sz w:val="18"/>
          <w:szCs w:val="18"/>
        </w:rPr>
      </w:pPr>
    </w:p>
    <w:p w14:paraId="4FCF3674" w14:textId="77777777" w:rsidR="00D03F3D" w:rsidRDefault="00D03F3D">
      <w:pPr>
        <w:ind w:right="-285"/>
        <w:jc w:val="both"/>
        <w:rPr>
          <w:b/>
          <w:i/>
          <w:sz w:val="20"/>
          <w:szCs w:val="20"/>
          <w:u w:val="single"/>
        </w:rPr>
      </w:pPr>
    </w:p>
    <w:p w14:paraId="5B68F135" w14:textId="77777777" w:rsidR="00D03F3D" w:rsidRDefault="001438D7">
      <w:pPr>
        <w:rPr>
          <w:b/>
          <w:color w:val="000000"/>
          <w:sz w:val="18"/>
          <w:szCs w:val="18"/>
          <w:u w:val="single"/>
        </w:rPr>
      </w:pPr>
      <w:r>
        <w:rPr>
          <w:b/>
          <w:color w:val="000000"/>
          <w:sz w:val="18"/>
          <w:szCs w:val="18"/>
          <w:u w:val="single"/>
        </w:rPr>
        <w:t xml:space="preserve">CONTACTO </w:t>
      </w:r>
    </w:p>
    <w:p w14:paraId="63FA5BC3" w14:textId="77777777" w:rsidR="00D03F3D" w:rsidRDefault="001438D7">
      <w:pPr>
        <w:rPr>
          <w:sz w:val="18"/>
          <w:szCs w:val="18"/>
        </w:rPr>
      </w:pPr>
      <w:r>
        <w:rPr>
          <w:sz w:val="18"/>
          <w:szCs w:val="18"/>
        </w:rPr>
        <w:t xml:space="preserve">Actitud de Comunicación </w:t>
      </w:r>
    </w:p>
    <w:p w14:paraId="169F3C0E" w14:textId="77777777" w:rsidR="00D03F3D" w:rsidRDefault="002F57B5">
      <w:pPr>
        <w:rPr>
          <w:color w:val="0000FF"/>
          <w:sz w:val="18"/>
          <w:szCs w:val="18"/>
          <w:u w:val="single"/>
        </w:rPr>
      </w:pPr>
      <w:hyperlink r:id="rId11">
        <w:r w:rsidR="001438D7">
          <w:rPr>
            <w:color w:val="0000FF"/>
            <w:sz w:val="18"/>
            <w:szCs w:val="18"/>
            <w:u w:val="single"/>
          </w:rPr>
          <w:t>actitud@actitud.es</w:t>
        </w:r>
      </w:hyperlink>
      <w:r w:rsidR="001438D7">
        <w:rPr>
          <w:sz w:val="18"/>
          <w:szCs w:val="18"/>
        </w:rPr>
        <w:t xml:space="preserve"> </w:t>
      </w:r>
    </w:p>
    <w:p w14:paraId="75CFB45B" w14:textId="77777777" w:rsidR="00D03F3D" w:rsidRDefault="001438D7">
      <w:pPr>
        <w:rPr>
          <w:sz w:val="18"/>
          <w:szCs w:val="18"/>
        </w:rPr>
      </w:pPr>
      <w:r>
        <w:rPr>
          <w:sz w:val="18"/>
          <w:szCs w:val="18"/>
        </w:rPr>
        <w:t>Teléfono: 913022860</w:t>
      </w:r>
    </w:p>
    <w:p w14:paraId="3C470E01" w14:textId="77777777" w:rsidR="00D03F3D" w:rsidRDefault="00D03F3D"/>
    <w:sectPr w:rsidR="00D03F3D">
      <w:headerReference w:type="default" r:id="rId12"/>
      <w:pgSz w:w="11906" w:h="16838"/>
      <w:pgMar w:top="1985" w:right="1701" w:bottom="1418" w:left="1701" w:header="709" w:footer="709" w:gutter="0"/>
      <w:pgNumType w:start="1"/>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2FB99B6" w16cex:dateUtc="2023-10-23T13: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DF6B288" w16cid:durableId="32FB99B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42F1AE" w14:textId="77777777" w:rsidR="002F57B5" w:rsidRDefault="002F57B5">
      <w:r>
        <w:separator/>
      </w:r>
    </w:p>
  </w:endnote>
  <w:endnote w:type="continuationSeparator" w:id="0">
    <w:p w14:paraId="4AA59F4D" w14:textId="77777777" w:rsidR="002F57B5" w:rsidRDefault="002F5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B6490C5" w14:textId="77777777" w:rsidR="002F57B5" w:rsidRDefault="002F57B5">
      <w:r>
        <w:separator/>
      </w:r>
    </w:p>
  </w:footnote>
  <w:footnote w:type="continuationSeparator" w:id="0">
    <w:p w14:paraId="5A940D3F" w14:textId="77777777" w:rsidR="002F57B5" w:rsidRDefault="002F57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E350EC" w14:textId="77777777" w:rsidR="00D03F3D" w:rsidRDefault="001438D7">
    <w:pPr>
      <w:pBdr>
        <w:top w:val="nil"/>
        <w:left w:val="nil"/>
        <w:bottom w:val="nil"/>
        <w:right w:val="nil"/>
        <w:between w:val="nil"/>
      </w:pBdr>
      <w:tabs>
        <w:tab w:val="center" w:pos="4252"/>
        <w:tab w:val="right" w:pos="8504"/>
      </w:tabs>
      <w:rPr>
        <w:color w:val="000000"/>
      </w:rPr>
    </w:pPr>
    <w:r>
      <w:rPr>
        <w:noProof/>
        <w:lang w:val="es-ES"/>
      </w:rPr>
      <w:drawing>
        <wp:anchor distT="0" distB="0" distL="114300" distR="114300" simplePos="0" relativeHeight="251658240" behindDoc="0" locked="0" layoutInCell="1" hidden="0" allowOverlap="1" wp14:anchorId="484088A6" wp14:editId="6EC7128E">
          <wp:simplePos x="0" y="0"/>
          <wp:positionH relativeFrom="column">
            <wp:posOffset>3815715</wp:posOffset>
          </wp:positionH>
          <wp:positionV relativeFrom="paragraph">
            <wp:posOffset>-259079</wp:posOffset>
          </wp:positionV>
          <wp:extent cx="2352675" cy="772160"/>
          <wp:effectExtent l="0" t="0" r="0" b="0"/>
          <wp:wrapSquare wrapText="bothSides" distT="0" distB="0" distL="114300" distR="114300"/>
          <wp:docPr id="23" name="image1.jpg" descr="C:\Users\Actitud-pc1\Downloads\logo_consultia_RGB-scaled.jpg"/>
          <wp:cNvGraphicFramePr/>
          <a:graphic xmlns:a="http://schemas.openxmlformats.org/drawingml/2006/main">
            <a:graphicData uri="http://schemas.openxmlformats.org/drawingml/2006/picture">
              <pic:pic xmlns:pic="http://schemas.openxmlformats.org/drawingml/2006/picture">
                <pic:nvPicPr>
                  <pic:cNvPr id="0" name="image1.jpg" descr="C:\Users\Actitud-pc1\Downloads\logo_consultia_RGB-scaled.jpg"/>
                  <pic:cNvPicPr preferRelativeResize="0"/>
                </pic:nvPicPr>
                <pic:blipFill>
                  <a:blip r:embed="rId1"/>
                  <a:srcRect l="14488" t="33500" r="15017" b="33750"/>
                  <a:stretch>
                    <a:fillRect/>
                  </a:stretch>
                </pic:blipFill>
                <pic:spPr>
                  <a:xfrm>
                    <a:off x="0" y="0"/>
                    <a:ext cx="2352675" cy="772160"/>
                  </a:xfrm>
                  <a:prstGeom prst="rect">
                    <a:avLst/>
                  </a:prstGeom>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A330B5"/>
    <w:multiLevelType w:val="multilevel"/>
    <w:tmpl w:val="AEB859C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nsid w:val="38734E0B"/>
    <w:multiLevelType w:val="multilevel"/>
    <w:tmpl w:val="A614E21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4199484F"/>
    <w:multiLevelType w:val="multilevel"/>
    <w:tmpl w:val="A9DE55D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
    <w:nsid w:val="6AA8042B"/>
    <w:multiLevelType w:val="multilevel"/>
    <w:tmpl w:val="12E40A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1"/>
  </w:num>
  <w:num w:numId="4">
    <w:abstractNumId w:val="0"/>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Usuario de Windows">
    <w15:presenceInfo w15:providerId="Windows Live" w15:userId="1361c5f3c7b1a22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3F3D"/>
    <w:rsid w:val="00057826"/>
    <w:rsid w:val="001438D7"/>
    <w:rsid w:val="001A5DC2"/>
    <w:rsid w:val="00220879"/>
    <w:rsid w:val="00280F0A"/>
    <w:rsid w:val="002F57B5"/>
    <w:rsid w:val="00405D7B"/>
    <w:rsid w:val="00413FF6"/>
    <w:rsid w:val="00564496"/>
    <w:rsid w:val="005760E5"/>
    <w:rsid w:val="00592D4C"/>
    <w:rsid w:val="0060083D"/>
    <w:rsid w:val="0069648F"/>
    <w:rsid w:val="007E583D"/>
    <w:rsid w:val="00851F42"/>
    <w:rsid w:val="00973785"/>
    <w:rsid w:val="00A00064"/>
    <w:rsid w:val="00A54080"/>
    <w:rsid w:val="00A76728"/>
    <w:rsid w:val="00A8322F"/>
    <w:rsid w:val="00A96E74"/>
    <w:rsid w:val="00C25864"/>
    <w:rsid w:val="00C667E4"/>
    <w:rsid w:val="00D03F3D"/>
    <w:rsid w:val="00E828DB"/>
    <w:rsid w:val="00EB0F01"/>
    <w:rsid w:val="00EC24A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C8A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5A7990"/>
    <w:pPr>
      <w:spacing w:before="195" w:after="195"/>
    </w:pPr>
    <w:rPr>
      <w:rFonts w:ascii="Times New Roman" w:hAnsi="Times New Roman" w:cs="Times New Roman"/>
      <w:sz w:val="24"/>
      <w:szCs w:val="24"/>
    </w:rPr>
  </w:style>
  <w:style w:type="character" w:styleId="Textoennegrita">
    <w:name w:val="Strong"/>
    <w:basedOn w:val="Fuentedeprrafopredeter"/>
    <w:uiPriority w:val="22"/>
    <w:qFormat/>
    <w:rsid w:val="001D2CE5"/>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s-ES_tradnl"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3CF6"/>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pPr>
      <w:keepNext/>
      <w:keepLines/>
      <w:spacing w:before="480" w:after="120"/>
    </w:pPr>
    <w:rPr>
      <w:b/>
      <w:sz w:val="72"/>
      <w:szCs w:val="72"/>
    </w:rPr>
  </w:style>
  <w:style w:type="character" w:styleId="Hipervnculo">
    <w:name w:val="Hyperlink"/>
    <w:uiPriority w:val="99"/>
    <w:unhideWhenUsed/>
    <w:rsid w:val="006D5669"/>
    <w:rPr>
      <w:color w:val="0000FF"/>
      <w:u w:val="single"/>
    </w:rPr>
  </w:style>
  <w:style w:type="paragraph" w:styleId="Encabezado">
    <w:name w:val="header"/>
    <w:basedOn w:val="Normal"/>
    <w:link w:val="EncabezadoCar"/>
    <w:uiPriority w:val="99"/>
    <w:unhideWhenUsed/>
    <w:rsid w:val="00FF5E45"/>
    <w:pPr>
      <w:tabs>
        <w:tab w:val="center" w:pos="4252"/>
        <w:tab w:val="right" w:pos="8504"/>
      </w:tabs>
    </w:pPr>
  </w:style>
  <w:style w:type="character" w:customStyle="1" w:styleId="EncabezadoCar">
    <w:name w:val="Encabezado Car"/>
    <w:basedOn w:val="Fuentedeprrafopredeter"/>
    <w:link w:val="Encabezado"/>
    <w:uiPriority w:val="99"/>
    <w:rsid w:val="00FF5E45"/>
    <w:rPr>
      <w:rFonts w:ascii="Calibri" w:hAnsi="Calibri" w:cs="Calibri"/>
    </w:rPr>
  </w:style>
  <w:style w:type="paragraph" w:styleId="Piedepgina">
    <w:name w:val="footer"/>
    <w:basedOn w:val="Normal"/>
    <w:link w:val="PiedepginaCar"/>
    <w:uiPriority w:val="99"/>
    <w:unhideWhenUsed/>
    <w:rsid w:val="00FF5E45"/>
    <w:pPr>
      <w:tabs>
        <w:tab w:val="center" w:pos="4252"/>
        <w:tab w:val="right" w:pos="8504"/>
      </w:tabs>
    </w:pPr>
  </w:style>
  <w:style w:type="character" w:customStyle="1" w:styleId="PiedepginaCar">
    <w:name w:val="Pie de página Car"/>
    <w:basedOn w:val="Fuentedeprrafopredeter"/>
    <w:link w:val="Piedepgina"/>
    <w:uiPriority w:val="99"/>
    <w:rsid w:val="00FF5E45"/>
    <w:rPr>
      <w:rFonts w:ascii="Calibri" w:hAnsi="Calibri" w:cs="Calibri"/>
    </w:rPr>
  </w:style>
  <w:style w:type="character" w:styleId="Hipervnculovisitado">
    <w:name w:val="FollowedHyperlink"/>
    <w:basedOn w:val="Fuentedeprrafopredeter"/>
    <w:uiPriority w:val="99"/>
    <w:semiHidden/>
    <w:unhideWhenUsed/>
    <w:rsid w:val="00FF5E45"/>
    <w:rPr>
      <w:color w:val="954F72" w:themeColor="followedHyperlink"/>
      <w:u w:val="single"/>
    </w:rPr>
  </w:style>
  <w:style w:type="paragraph" w:styleId="Textodeglobo">
    <w:name w:val="Balloon Text"/>
    <w:basedOn w:val="Normal"/>
    <w:link w:val="TextodegloboCar"/>
    <w:uiPriority w:val="99"/>
    <w:semiHidden/>
    <w:unhideWhenUsed/>
    <w:rsid w:val="004A22B6"/>
    <w:rPr>
      <w:rFonts w:ascii="Tahoma" w:hAnsi="Tahoma" w:cs="Tahoma"/>
      <w:sz w:val="16"/>
      <w:szCs w:val="16"/>
    </w:rPr>
  </w:style>
  <w:style w:type="character" w:customStyle="1" w:styleId="TextodegloboCar">
    <w:name w:val="Texto de globo Car"/>
    <w:basedOn w:val="Fuentedeprrafopredeter"/>
    <w:link w:val="Textodeglobo"/>
    <w:uiPriority w:val="99"/>
    <w:semiHidden/>
    <w:rsid w:val="004A22B6"/>
    <w:rPr>
      <w:rFonts w:ascii="Tahoma" w:hAnsi="Tahoma" w:cs="Tahoma"/>
      <w:sz w:val="16"/>
      <w:szCs w:val="16"/>
    </w:rPr>
  </w:style>
  <w:style w:type="paragraph" w:styleId="Prrafodelista">
    <w:name w:val="List Paragraph"/>
    <w:basedOn w:val="Normal"/>
    <w:uiPriority w:val="34"/>
    <w:qFormat/>
    <w:rsid w:val="00846533"/>
    <w:pPr>
      <w:ind w:left="720"/>
    </w:pPr>
    <w:rPr>
      <w:rFonts w:asciiTheme="minorHAnsi" w:hAnsiTheme="minorHAnsi" w:cstheme="minorBidi"/>
    </w:rPr>
  </w:style>
  <w:style w:type="paragraph" w:styleId="Sinespaciado">
    <w:name w:val="No Spacing"/>
    <w:uiPriority w:val="1"/>
    <w:qFormat/>
    <w:rsid w:val="00D47687"/>
  </w:style>
  <w:style w:type="character" w:styleId="Refdecomentario">
    <w:name w:val="annotation reference"/>
    <w:basedOn w:val="Fuentedeprrafopredeter"/>
    <w:uiPriority w:val="99"/>
    <w:semiHidden/>
    <w:unhideWhenUsed/>
    <w:rsid w:val="0018207A"/>
    <w:rPr>
      <w:sz w:val="16"/>
      <w:szCs w:val="16"/>
    </w:rPr>
  </w:style>
  <w:style w:type="paragraph" w:styleId="Textocomentario">
    <w:name w:val="annotation text"/>
    <w:basedOn w:val="Normal"/>
    <w:link w:val="TextocomentarioCar"/>
    <w:uiPriority w:val="99"/>
    <w:unhideWhenUsed/>
    <w:rsid w:val="0018207A"/>
    <w:rPr>
      <w:sz w:val="20"/>
      <w:szCs w:val="20"/>
    </w:rPr>
  </w:style>
  <w:style w:type="character" w:customStyle="1" w:styleId="TextocomentarioCar">
    <w:name w:val="Texto comentario Car"/>
    <w:basedOn w:val="Fuentedeprrafopredeter"/>
    <w:link w:val="Textocomentario"/>
    <w:uiPriority w:val="99"/>
    <w:rsid w:val="0018207A"/>
    <w:rPr>
      <w:rFonts w:ascii="Calibri" w:hAnsi="Calibri" w:cs="Calibri"/>
      <w:sz w:val="20"/>
      <w:szCs w:val="20"/>
    </w:rPr>
  </w:style>
  <w:style w:type="paragraph" w:styleId="Asuntodelcomentario">
    <w:name w:val="annotation subject"/>
    <w:basedOn w:val="Textocomentario"/>
    <w:next w:val="Textocomentario"/>
    <w:link w:val="AsuntodelcomentarioCar"/>
    <w:uiPriority w:val="99"/>
    <w:semiHidden/>
    <w:unhideWhenUsed/>
    <w:rsid w:val="0018207A"/>
    <w:rPr>
      <w:b/>
      <w:bCs/>
    </w:rPr>
  </w:style>
  <w:style w:type="character" w:customStyle="1" w:styleId="AsuntodelcomentarioCar">
    <w:name w:val="Asunto del comentario Car"/>
    <w:basedOn w:val="TextocomentarioCar"/>
    <w:link w:val="Asuntodelcomentario"/>
    <w:uiPriority w:val="99"/>
    <w:semiHidden/>
    <w:rsid w:val="0018207A"/>
    <w:rPr>
      <w:rFonts w:ascii="Calibri" w:hAnsi="Calibri" w:cs="Calibri"/>
      <w:b/>
      <w:bCs/>
      <w:sz w:val="20"/>
      <w:szCs w:val="20"/>
    </w:rPr>
  </w:style>
  <w:style w:type="paragraph" w:styleId="Textosinformato">
    <w:name w:val="Plain Text"/>
    <w:basedOn w:val="Normal"/>
    <w:link w:val="TextosinformatoCar"/>
    <w:uiPriority w:val="99"/>
    <w:semiHidden/>
    <w:unhideWhenUsed/>
    <w:rsid w:val="0055762E"/>
    <w:rPr>
      <w:rFonts w:cstheme="minorBidi"/>
      <w:szCs w:val="21"/>
      <w:lang w:val="en-US"/>
    </w:rPr>
  </w:style>
  <w:style w:type="character" w:customStyle="1" w:styleId="TextosinformatoCar">
    <w:name w:val="Texto sin formato Car"/>
    <w:basedOn w:val="Fuentedeprrafopredeter"/>
    <w:link w:val="Textosinformato"/>
    <w:uiPriority w:val="99"/>
    <w:semiHidden/>
    <w:rsid w:val="0055762E"/>
    <w:rPr>
      <w:rFonts w:ascii="Calibri" w:hAnsi="Calibri"/>
      <w:szCs w:val="21"/>
      <w:lang w:val="en-US"/>
    </w:rPr>
  </w:style>
  <w:style w:type="paragraph" w:styleId="Revisin">
    <w:name w:val="Revision"/>
    <w:hidden/>
    <w:uiPriority w:val="99"/>
    <w:semiHidden/>
    <w:rsid w:val="00F47DAF"/>
  </w:style>
  <w:style w:type="character" w:customStyle="1" w:styleId="apple-converted-space">
    <w:name w:val="apple-converted-space"/>
    <w:basedOn w:val="Fuentedeprrafopredeter"/>
    <w:rsid w:val="008C355B"/>
  </w:style>
  <w:style w:type="paragraph" w:styleId="NormalWeb">
    <w:name w:val="Normal (Web)"/>
    <w:basedOn w:val="Normal"/>
    <w:uiPriority w:val="99"/>
    <w:unhideWhenUsed/>
    <w:rsid w:val="005A7990"/>
    <w:pPr>
      <w:spacing w:before="195" w:after="195"/>
    </w:pPr>
    <w:rPr>
      <w:rFonts w:ascii="Times New Roman" w:hAnsi="Times New Roman" w:cs="Times New Roman"/>
      <w:sz w:val="24"/>
      <w:szCs w:val="24"/>
    </w:rPr>
  </w:style>
  <w:style w:type="character" w:styleId="Textoennegrita">
    <w:name w:val="Strong"/>
    <w:basedOn w:val="Fuentedeprrafopredeter"/>
    <w:uiPriority w:val="22"/>
    <w:qFormat/>
    <w:rsid w:val="001D2CE5"/>
    <w:rPr>
      <w:b/>
      <w:bCs/>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ctitud@actitud.es" TargetMode="External"/><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hyperlink" Target="https://www.consultiatravel.es/" TargetMode="External"/><Relationship Id="rId19" Type="http://schemas.microsoft.com/office/2016/09/relationships/commentsIds" Target="commentsIds.xml"/><Relationship Id="rId4" Type="http://schemas.microsoft.com/office/2007/relationships/stylesWithEffects" Target="stylesWithEffects.xml"/><Relationship Id="rId9" Type="http://schemas.openxmlformats.org/officeDocument/2006/relationships/hyperlink" Target="https://www.consultiatravel.es/"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bTczzlRPiO2Lrool7neLlj3fyeA==">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903</Words>
  <Characters>4970</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5862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actitud3</dc:creator>
  <cp:lastModifiedBy>actitud pc</cp:lastModifiedBy>
  <cp:revision>2</cp:revision>
  <dcterms:created xsi:type="dcterms:W3CDTF">2023-10-25T07:52:00Z</dcterms:created>
  <dcterms:modified xsi:type="dcterms:W3CDTF">2023-10-25T07:52:00Z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0x010100F216AFD8C49A964A82E6063D63172A8A</vt:lpwstr>
  </property>
</Properties>
</file>