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2.00000000000003" w:lineRule="auto"/>
        <w:jc w:val="center"/>
        <w:rPr>
          <w:b w:val="1"/>
          <w:sz w:val="44"/>
          <w:szCs w:val="44"/>
        </w:rPr>
      </w:pPr>
      <w:r w:rsidDel="00000000" w:rsidR="00000000" w:rsidRPr="00000000">
        <w:rPr>
          <w:b w:val="1"/>
          <w:sz w:val="44"/>
          <w:szCs w:val="44"/>
          <w:rtl w:val="0"/>
        </w:rPr>
        <w:t xml:space="preserve">AEIT-Madrid y el COIT firman un acuerdo de colaboración con el Ayuntamiento de Alcobendas</w:t>
      </w:r>
    </w:p>
    <w:p w:rsidR="00000000" w:rsidDel="00000000" w:rsidP="00000000" w:rsidRDefault="00000000" w:rsidRPr="00000000" w14:paraId="00000002">
      <w:pPr>
        <w:spacing w:after="0" w:line="252.00000000000003" w:lineRule="auto"/>
        <w:jc w:val="center"/>
        <w:rPr>
          <w:b w:val="1"/>
          <w:sz w:val="44"/>
          <w:szCs w:val="44"/>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line="252.00000000000003" w:lineRule="auto"/>
        <w:ind w:left="720" w:hanging="360"/>
        <w:jc w:val="both"/>
        <w:rPr>
          <w:sz w:val="24"/>
          <w:szCs w:val="24"/>
        </w:rPr>
      </w:pPr>
      <w:r w:rsidDel="00000000" w:rsidR="00000000" w:rsidRPr="00000000">
        <w:rPr>
          <w:sz w:val="24"/>
          <w:szCs w:val="24"/>
          <w:rtl w:val="0"/>
        </w:rPr>
        <w:t xml:space="preserve">El convenio tiene como objetivo crear un entorno colaborativo entre sus profesionales, que sirva para potenciar el desarrollo tecnológico y económico de la ciudad.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52.00000000000003" w:lineRule="auto"/>
        <w:ind w:left="720" w:firstLine="0"/>
        <w:jc w:val="both"/>
        <w:rPr>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52.00000000000003" w:lineRule="auto"/>
        <w:jc w:val="both"/>
        <w:rPr>
          <w:b w:val="1"/>
          <w:sz w:val="44"/>
          <w:szCs w:val="44"/>
        </w:rPr>
      </w:pPr>
      <w:r w:rsidDel="00000000" w:rsidR="00000000" w:rsidRPr="00000000">
        <w:rPr>
          <w:b w:val="1"/>
          <w:sz w:val="44"/>
          <w:szCs w:val="44"/>
        </w:rPr>
        <w:drawing>
          <wp:inline distB="114300" distT="114300" distL="114300" distR="114300">
            <wp:extent cx="5399730" cy="3759200"/>
            <wp:effectExtent b="0" l="0" r="0" t="0"/>
            <wp:docPr id="9"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399730" cy="37592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52.00000000000003" w:lineRule="auto"/>
        <w:jc w:val="center"/>
        <w:rPr>
          <w:sz w:val="18"/>
          <w:szCs w:val="18"/>
        </w:rPr>
      </w:pPr>
      <w:bookmarkStart w:colFirst="0" w:colLast="0" w:name="_heading=h.gjdgxs" w:id="0"/>
      <w:bookmarkEnd w:id="0"/>
      <w:r w:rsidDel="00000000" w:rsidR="00000000" w:rsidRPr="00000000">
        <w:rPr>
          <w:sz w:val="18"/>
          <w:szCs w:val="18"/>
          <w:rtl w:val="0"/>
        </w:rPr>
        <w:t xml:space="preserve">De Izda. a Dcha.: Roberto Fraile, concejal de Innovación; Aitor Retolaza, Alcalde de Alcobendas; José Cea, presidente de AEIT-Madrid; y Evaristo Abril, vicesecretario del COIT</w:t>
      </w:r>
    </w:p>
    <w:p w:rsidR="00000000" w:rsidDel="00000000" w:rsidP="00000000" w:rsidRDefault="00000000" w:rsidRPr="00000000" w14:paraId="00000007">
      <w:pPr>
        <w:spacing w:after="0" w:line="252.00000000000003" w:lineRule="auto"/>
        <w:jc w:val="both"/>
        <w:rPr>
          <w:rFonts w:ascii="DIN Pro" w:cs="DIN Pro" w:eastAsia="DIN Pro" w:hAnsi="DIN Pro"/>
          <w:b w:val="1"/>
          <w:sz w:val="38"/>
          <w:szCs w:val="38"/>
        </w:rPr>
      </w:pPr>
      <w:r w:rsidDel="00000000" w:rsidR="00000000" w:rsidRPr="00000000">
        <w:rPr>
          <w:rtl w:val="0"/>
        </w:rPr>
      </w:r>
    </w:p>
    <w:p w:rsidR="00000000" w:rsidDel="00000000" w:rsidP="00000000" w:rsidRDefault="00000000" w:rsidRPr="00000000" w14:paraId="00000008">
      <w:pPr>
        <w:spacing w:after="0" w:line="252.00000000000003" w:lineRule="auto"/>
        <w:jc w:val="both"/>
        <w:rPr>
          <w:sz w:val="24"/>
          <w:szCs w:val="24"/>
        </w:rPr>
      </w:pPr>
      <w:r w:rsidDel="00000000" w:rsidR="00000000" w:rsidRPr="00000000">
        <w:rPr>
          <w:b w:val="1"/>
          <w:sz w:val="24"/>
          <w:szCs w:val="24"/>
          <w:rtl w:val="0"/>
        </w:rPr>
        <w:t xml:space="preserve">Madrid 9 de mayo de 2022</w:t>
      </w:r>
      <w:r w:rsidDel="00000000" w:rsidR="00000000" w:rsidRPr="00000000">
        <w:rPr>
          <w:rFonts w:ascii="DIN Pro" w:cs="DIN Pro" w:eastAsia="DIN Pro" w:hAnsi="DIN Pro"/>
          <w:sz w:val="24"/>
          <w:szCs w:val="24"/>
          <w:rtl w:val="0"/>
        </w:rPr>
        <w:t xml:space="preserve">.</w:t>
      </w:r>
      <w:r w:rsidDel="00000000" w:rsidR="00000000" w:rsidRPr="00000000">
        <w:rPr>
          <w:sz w:val="24"/>
          <w:szCs w:val="24"/>
          <w:rtl w:val="0"/>
        </w:rPr>
        <w:t xml:space="preserve"> </w:t>
      </w:r>
      <w:hyperlink r:id="rId8">
        <w:r w:rsidDel="00000000" w:rsidR="00000000" w:rsidRPr="00000000">
          <w:rPr>
            <w:color w:val="1155cc"/>
            <w:sz w:val="24"/>
            <w:szCs w:val="24"/>
            <w:u w:val="single"/>
            <w:rtl w:val="0"/>
          </w:rPr>
          <w:t xml:space="preserve">La Delegación en Madrid de la Asociación Española de Ingenieros de Telecomunicación, AEIT-Madrid</w:t>
        </w:r>
      </w:hyperlink>
      <w:r w:rsidDel="00000000" w:rsidR="00000000" w:rsidRPr="00000000">
        <w:rPr>
          <w:sz w:val="24"/>
          <w:szCs w:val="24"/>
          <w:rtl w:val="0"/>
        </w:rPr>
        <w:t xml:space="preserve">, junto con el </w:t>
      </w:r>
      <w:hyperlink r:id="rId9">
        <w:r w:rsidDel="00000000" w:rsidR="00000000" w:rsidRPr="00000000">
          <w:rPr>
            <w:color w:val="1155cc"/>
            <w:sz w:val="24"/>
            <w:szCs w:val="24"/>
            <w:u w:val="single"/>
            <w:rtl w:val="0"/>
          </w:rPr>
          <w:t xml:space="preserve">Colegio Oficial de Ingenieros de Telecomunicación (COIT)</w:t>
        </w:r>
      </w:hyperlink>
      <w:r w:rsidDel="00000000" w:rsidR="00000000" w:rsidRPr="00000000">
        <w:rPr>
          <w:sz w:val="24"/>
          <w:szCs w:val="24"/>
          <w:rtl w:val="0"/>
        </w:rPr>
        <w:t xml:space="preserve"> y el Ayuntamiento de Alcobendas, firmó ayer un acuerdo de colaboración para la organización y realización conjunta de seminarios, jornadas, sesiones técnicas, cursos y congresos, dirigidas a la formación, la información y la divulgación en distintas áreas, especialmente en el impulso de las vocaciones STEM (ciencia, tecnología, ingeniería y matemáticas) en las mujeres. </w:t>
      </w:r>
    </w:p>
    <w:p w:rsidR="00000000" w:rsidDel="00000000" w:rsidP="00000000" w:rsidRDefault="00000000" w:rsidRPr="00000000" w14:paraId="00000009">
      <w:pPr>
        <w:spacing w:after="0" w:line="252.00000000000003"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52.00000000000003" w:lineRule="auto"/>
        <w:jc w:val="both"/>
        <w:rPr>
          <w:sz w:val="24"/>
          <w:szCs w:val="24"/>
        </w:rPr>
      </w:pPr>
      <w:r w:rsidDel="00000000" w:rsidR="00000000" w:rsidRPr="00000000">
        <w:rPr>
          <w:sz w:val="24"/>
          <w:szCs w:val="24"/>
          <w:rtl w:val="0"/>
        </w:rPr>
        <w:t xml:space="preserve">Esta colaboración también busca dar a conocer los proyectos de buenas prácticas en Tecnologías de la Información y la Comunicación llevados a cabos por otros ayuntamientos; la realización de investigaciones y publicaciones conjuntas; o el asesoramiento al Ayuntamiento para la realización de un inventario de infraestructuras tecnológicas. </w:t>
      </w:r>
    </w:p>
    <w:p w:rsidR="00000000" w:rsidDel="00000000" w:rsidP="00000000" w:rsidRDefault="00000000" w:rsidRPr="00000000" w14:paraId="0000000B">
      <w:pPr>
        <w:spacing w:after="0" w:line="252.00000000000003" w:lineRule="auto"/>
        <w:jc w:val="both"/>
        <w:rPr>
          <w:sz w:val="24"/>
          <w:szCs w:val="24"/>
        </w:rPr>
      </w:pPr>
      <w:r w:rsidDel="00000000" w:rsidR="00000000" w:rsidRPr="00000000">
        <w:rPr>
          <w:rtl w:val="0"/>
        </w:rPr>
      </w:r>
    </w:p>
    <w:p w:rsidR="00000000" w:rsidDel="00000000" w:rsidP="00000000" w:rsidRDefault="00000000" w:rsidRPr="00000000" w14:paraId="0000000C">
      <w:pPr>
        <w:spacing w:after="0" w:line="252.00000000000003" w:lineRule="auto"/>
        <w:jc w:val="both"/>
        <w:rPr>
          <w:sz w:val="24"/>
          <w:szCs w:val="24"/>
        </w:rPr>
      </w:pPr>
      <w:r w:rsidDel="00000000" w:rsidR="00000000" w:rsidRPr="00000000">
        <w:rPr>
          <w:sz w:val="24"/>
          <w:szCs w:val="24"/>
          <w:rtl w:val="0"/>
        </w:rPr>
        <w:t xml:space="preserve">La ratificación del acuerdo, firmado telemáticamente el pasado 10 de mayo, contó con la presencia del alcalde, Aitor Retolaza; el concejal de Innovación, Roberto Fraile; el vicesecretario del COIT, Evaristo Abril y el presidente de la AEIT-Madrid, José Cea.</w:t>
      </w:r>
    </w:p>
    <w:p w:rsidR="00000000" w:rsidDel="00000000" w:rsidP="00000000" w:rsidRDefault="00000000" w:rsidRPr="00000000" w14:paraId="0000000D">
      <w:pPr>
        <w:spacing w:after="0" w:line="252.00000000000003" w:lineRule="auto"/>
        <w:jc w:val="both"/>
        <w:rPr>
          <w:sz w:val="24"/>
          <w:szCs w:val="24"/>
        </w:rPr>
      </w:pPr>
      <w:r w:rsidDel="00000000" w:rsidR="00000000" w:rsidRPr="00000000">
        <w:rPr>
          <w:rtl w:val="0"/>
        </w:rPr>
      </w:r>
    </w:p>
    <w:p w:rsidR="00000000" w:rsidDel="00000000" w:rsidP="00000000" w:rsidRDefault="00000000" w:rsidRPr="00000000" w14:paraId="0000000E">
      <w:pPr>
        <w:spacing w:after="0" w:line="252.00000000000003" w:lineRule="auto"/>
        <w:jc w:val="both"/>
        <w:rPr>
          <w:b w:val="1"/>
          <w:color w:val="0563c1"/>
          <w:sz w:val="24"/>
          <w:szCs w:val="24"/>
          <w:u w:val="single"/>
        </w:rPr>
      </w:pPr>
      <w:r w:rsidDel="00000000" w:rsidR="00000000" w:rsidRPr="00000000">
        <w:rPr>
          <w:sz w:val="24"/>
          <w:szCs w:val="24"/>
          <w:rtl w:val="0"/>
        </w:rPr>
        <w:t xml:space="preserve">Tanto el COIT como AEIT-Madrid pondrán a disposición del Ayuntamiento de Alcobendas el conjunto de los Ingenieros de Telecomunicación para que puedan aportar el conocimiento tecnológico que el Ayuntamiento precise en temas que ambas entidades encuentren de interés.</w:t>
      </w:r>
      <w:r w:rsidDel="00000000" w:rsidR="00000000" w:rsidRPr="00000000">
        <w:rPr>
          <w:rtl w:val="0"/>
        </w:rPr>
      </w:r>
    </w:p>
    <w:p w:rsidR="00000000" w:rsidDel="00000000" w:rsidP="00000000" w:rsidRDefault="00000000" w:rsidRPr="00000000" w14:paraId="0000000F">
      <w:pPr>
        <w:spacing w:after="0" w:line="252.00000000000003" w:lineRule="auto"/>
        <w:jc w:val="both"/>
        <w:rPr>
          <w:b w:val="1"/>
          <w:color w:val="0563c1"/>
          <w:sz w:val="24"/>
          <w:szCs w:val="24"/>
          <w:u w:val="single"/>
        </w:rPr>
      </w:pPr>
      <w:r w:rsidDel="00000000" w:rsidR="00000000" w:rsidRPr="00000000">
        <w:rPr>
          <w:rtl w:val="0"/>
        </w:rPr>
      </w:r>
    </w:p>
    <w:p w:rsidR="00000000" w:rsidDel="00000000" w:rsidP="00000000" w:rsidRDefault="00000000" w:rsidRPr="00000000" w14:paraId="00000010">
      <w:pPr>
        <w:spacing w:after="0" w:line="252.00000000000003" w:lineRule="auto"/>
        <w:jc w:val="both"/>
        <w:rPr>
          <w:b w:val="1"/>
          <w:color w:val="0563c1"/>
          <w:sz w:val="24"/>
          <w:szCs w:val="24"/>
          <w:u w:val="single"/>
        </w:rPr>
      </w:pPr>
      <w:r w:rsidDel="00000000" w:rsidR="00000000" w:rsidRPr="00000000">
        <w:rPr>
          <w:rtl w:val="0"/>
        </w:rPr>
      </w:r>
    </w:p>
    <w:p w:rsidR="00000000" w:rsidDel="00000000" w:rsidP="00000000" w:rsidRDefault="00000000" w:rsidRPr="00000000" w14:paraId="00000011">
      <w:pPr>
        <w:spacing w:after="0" w:line="252.00000000000003" w:lineRule="auto"/>
        <w:jc w:val="both"/>
        <w:rPr>
          <w:b w:val="1"/>
          <w:color w:val="0563c1"/>
          <w:sz w:val="24"/>
          <w:szCs w:val="24"/>
          <w:u w:val="single"/>
        </w:rPr>
      </w:pPr>
      <w:r w:rsidDel="00000000" w:rsidR="00000000" w:rsidRPr="00000000">
        <w:rPr>
          <w:rtl w:val="0"/>
        </w:rPr>
      </w:r>
    </w:p>
    <w:p w:rsidR="00000000" w:rsidDel="00000000" w:rsidP="00000000" w:rsidRDefault="00000000" w:rsidRPr="00000000" w14:paraId="00000012">
      <w:pPr>
        <w:rPr>
          <w:rFonts w:ascii="DIN Pro" w:cs="DIN Pro" w:eastAsia="DIN Pro" w:hAnsi="DIN Pro"/>
          <w:b w:val="1"/>
          <w:sz w:val="20"/>
          <w:szCs w:val="20"/>
          <w:u w:val="single"/>
        </w:rPr>
      </w:pPr>
      <w:r w:rsidDel="00000000" w:rsidR="00000000" w:rsidRPr="00000000">
        <w:rPr>
          <w:rFonts w:ascii="DIN Pro" w:cs="DIN Pro" w:eastAsia="DIN Pro" w:hAnsi="DIN Pro"/>
          <w:b w:val="1"/>
          <w:sz w:val="20"/>
          <w:szCs w:val="20"/>
          <w:u w:val="single"/>
          <w:rtl w:val="0"/>
        </w:rPr>
        <w:t xml:space="preserve">Sobre la Asociación Española de Ingenieros de Telecomunicación de Madrid (AEIT-Madrid)</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spacing w:after="280" w:before="28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color w:val="000000"/>
          <w:sz w:val="20"/>
          <w:szCs w:val="20"/>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43% de los asociados del total nacional.</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color w:val="000000"/>
          <w:sz w:val="20"/>
          <w:szCs w:val="20"/>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color w:val="000000"/>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b w:val="1"/>
          <w:color w:val="000000"/>
          <w:sz w:val="20"/>
          <w:szCs w:val="20"/>
        </w:rPr>
      </w:pPr>
      <w:r w:rsidDel="00000000" w:rsidR="00000000" w:rsidRPr="00000000">
        <w:rPr>
          <w:rFonts w:ascii="DIN Pro" w:cs="DIN Pro" w:eastAsia="DIN Pro" w:hAnsi="DIN Pro"/>
          <w:b w:val="1"/>
          <w:color w:val="000000"/>
          <w:sz w:val="20"/>
          <w:szCs w:val="20"/>
          <w:rtl w:val="0"/>
        </w:rPr>
        <w:t xml:space="preserve">Más información:</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color w:val="000000"/>
          <w:sz w:val="20"/>
          <w:szCs w:val="20"/>
          <w:rtl w:val="0"/>
        </w:rPr>
        <w:t xml:space="preserve">Cinthia Mañana  </w:t>
      </w:r>
      <w:hyperlink r:id="rId10">
        <w:r w:rsidDel="00000000" w:rsidR="00000000" w:rsidRPr="00000000">
          <w:rPr>
            <w:rFonts w:ascii="DIN Pro" w:cs="DIN Pro" w:eastAsia="DIN Pro" w:hAnsi="DIN Pro"/>
            <w:color w:val="0563c1"/>
            <w:sz w:val="20"/>
            <w:szCs w:val="20"/>
            <w:u w:val="single"/>
            <w:rtl w:val="0"/>
          </w:rPr>
          <w:t xml:space="preserve">cinthia.manana@actitud.es</w:t>
        </w:r>
      </w:hyperlink>
      <w:r w:rsidDel="00000000" w:rsidR="00000000" w:rsidRPr="00000000">
        <w:rPr>
          <w:rFonts w:ascii="DIN Pro" w:cs="DIN Pro" w:eastAsia="DIN Pro" w:hAnsi="DIN Pro"/>
          <w:color w:val="000000"/>
          <w:sz w:val="20"/>
          <w:szCs w:val="20"/>
          <w:rtl w:val="0"/>
        </w:rPr>
        <w:t xml:space="preserve"> </w:t>
      </w:r>
    </w:p>
    <w:p w:rsidR="00000000" w:rsidDel="00000000" w:rsidP="00000000" w:rsidRDefault="00000000" w:rsidRPr="00000000" w14:paraId="00000018">
      <w:pPr>
        <w:spacing w:after="0" w:line="252.00000000000003"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Actitud de Comunicación: 91 302 28 60</w:t>
      </w:r>
    </w:p>
    <w:sectPr>
      <w:headerReference r:id="rId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IN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color w:val="000000"/>
      </w:rPr>
      <w:drawing>
        <wp:inline distB="0" distT="0" distL="0" distR="0">
          <wp:extent cx="2001203" cy="737698"/>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1203" cy="737698"/>
                  </a:xfrm>
                  <a:prstGeom prst="rect"/>
                  <a:ln/>
                </pic:spPr>
              </pic:pic>
            </a:graphicData>
          </a:graphic>
        </wp:inline>
      </w:drawing>
    </w:r>
    <w:r w:rsidDel="00000000" w:rsidR="00000000" w:rsidRPr="00000000">
      <w:rPr>
        <w:color w:val="000000"/>
        <w:rtl w:val="0"/>
      </w:rPr>
      <w:tab/>
      <w:tab/>
    </w:r>
    <w:r w:rsidDel="00000000" w:rsidR="00000000" w:rsidRPr="00000000">
      <w:rPr>
        <w:color w:val="000000"/>
      </w:rPr>
      <w:drawing>
        <wp:inline distB="114300" distT="114300" distL="114300" distR="114300">
          <wp:extent cx="1809430" cy="768667"/>
          <wp:effectExtent b="0" l="0" r="0" t="0"/>
          <wp:docPr id="1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09430" cy="768667"/>
                  </a:xfrm>
                  <a:prstGeom prst="rect"/>
                  <a:ln/>
                </pic:spPr>
              </pic:pic>
            </a:graphicData>
          </a:graphic>
        </wp:inline>
      </w:drawing>
    </w:r>
    <w:r w:rsidDel="00000000" w:rsidR="00000000" w:rsidRPr="00000000">
      <w:rPr>
        <w:color w:val="000000"/>
        <w:rtl w:val="0"/>
      </w:rPr>
      <w:tab/>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34D6"/>
  </w:style>
  <w:style w:type="paragraph" w:styleId="Ttulo1">
    <w:name w:val="heading 1"/>
    <w:basedOn w:val="Normal"/>
    <w:next w:val="Normal"/>
    <w:rsid w:val="00D334D6"/>
    <w:pPr>
      <w:keepNext w:val="1"/>
      <w:keepLines w:val="1"/>
      <w:spacing w:after="120" w:before="480"/>
      <w:outlineLvl w:val="0"/>
    </w:pPr>
    <w:rPr>
      <w:b w:val="1"/>
      <w:sz w:val="48"/>
      <w:szCs w:val="48"/>
    </w:rPr>
  </w:style>
  <w:style w:type="paragraph" w:styleId="Ttulo2">
    <w:name w:val="heading 2"/>
    <w:basedOn w:val="Normal"/>
    <w:next w:val="Normal"/>
    <w:rsid w:val="00D334D6"/>
    <w:pPr>
      <w:keepNext w:val="1"/>
      <w:keepLines w:val="1"/>
      <w:spacing w:after="80" w:before="360"/>
      <w:outlineLvl w:val="1"/>
    </w:pPr>
    <w:rPr>
      <w:b w:val="1"/>
      <w:sz w:val="36"/>
      <w:szCs w:val="36"/>
    </w:rPr>
  </w:style>
  <w:style w:type="paragraph" w:styleId="Ttulo3">
    <w:name w:val="heading 3"/>
    <w:basedOn w:val="Normal"/>
    <w:next w:val="Normal"/>
    <w:rsid w:val="00D334D6"/>
    <w:pPr>
      <w:keepNext w:val="1"/>
      <w:keepLines w:val="1"/>
      <w:spacing w:after="80" w:before="280"/>
      <w:outlineLvl w:val="2"/>
    </w:pPr>
    <w:rPr>
      <w:b w:val="1"/>
      <w:sz w:val="28"/>
      <w:szCs w:val="28"/>
    </w:rPr>
  </w:style>
  <w:style w:type="paragraph" w:styleId="Ttulo4">
    <w:name w:val="heading 4"/>
    <w:basedOn w:val="Normal"/>
    <w:next w:val="Normal"/>
    <w:rsid w:val="00D334D6"/>
    <w:pPr>
      <w:keepNext w:val="1"/>
      <w:keepLines w:val="1"/>
      <w:spacing w:after="40" w:before="240"/>
      <w:outlineLvl w:val="3"/>
    </w:pPr>
    <w:rPr>
      <w:b w:val="1"/>
      <w:sz w:val="24"/>
      <w:szCs w:val="24"/>
    </w:rPr>
  </w:style>
  <w:style w:type="paragraph" w:styleId="Ttulo5">
    <w:name w:val="heading 5"/>
    <w:basedOn w:val="Normal"/>
    <w:next w:val="Normal"/>
    <w:rsid w:val="00D334D6"/>
    <w:pPr>
      <w:keepNext w:val="1"/>
      <w:keepLines w:val="1"/>
      <w:spacing w:after="40" w:before="220"/>
      <w:outlineLvl w:val="4"/>
    </w:pPr>
    <w:rPr>
      <w:b w:val="1"/>
    </w:rPr>
  </w:style>
  <w:style w:type="paragraph" w:styleId="Ttulo6">
    <w:name w:val="heading 6"/>
    <w:basedOn w:val="Normal"/>
    <w:next w:val="Normal"/>
    <w:rsid w:val="00D334D6"/>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1" w:customStyle="1">
    <w:name w:val="Normal1"/>
    <w:rsid w:val="00D334D6"/>
  </w:style>
  <w:style w:type="table" w:styleId="TableNormal" w:customStyle="1">
    <w:name w:val="Table Normal"/>
    <w:rsid w:val="00D334D6"/>
    <w:tblPr>
      <w:tblCellMar>
        <w:top w:w="0.0" w:type="dxa"/>
        <w:left w:w="0.0" w:type="dxa"/>
        <w:bottom w:w="0.0" w:type="dxa"/>
        <w:right w:w="0.0" w:type="dxa"/>
      </w:tblCellMar>
    </w:tblPr>
  </w:style>
  <w:style w:type="paragraph" w:styleId="Puesto">
    <w:name w:val="Title"/>
    <w:basedOn w:val="Normal"/>
    <w:next w:val="Normal"/>
    <w:rsid w:val="00D334D6"/>
    <w:pPr>
      <w:keepNext w:val="1"/>
      <w:keepLines w:val="1"/>
      <w:spacing w:after="120" w:before="480"/>
    </w:pPr>
    <w:rPr>
      <w:b w:val="1"/>
      <w:sz w:val="72"/>
      <w:szCs w:val="72"/>
    </w:rPr>
  </w:style>
  <w:style w:type="table" w:styleId="TableNormal0" w:customStyle="1">
    <w:name w:val="Table Normal"/>
    <w:rsid w:val="00D334D6"/>
    <w:tblPr>
      <w:tblCellMar>
        <w:top w:w="0.0" w:type="dxa"/>
        <w:left w:w="0.0" w:type="dxa"/>
        <w:bottom w:w="0.0" w:type="dxa"/>
        <w:right w:w="0.0" w:type="dxa"/>
      </w:tblCellMar>
    </w:tblPr>
  </w:style>
  <w:style w:type="table" w:styleId="TableNormal1" w:customStyle="1">
    <w:name w:val="Table Normal"/>
    <w:rsid w:val="00D334D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673F54"/>
    <w:rPr>
      <w:color w:val="0563c1" w:themeColor="hyperlink"/>
      <w:u w:val="single"/>
    </w:rPr>
  </w:style>
  <w:style w:type="paragraph" w:styleId="NormalWeb">
    <w:name w:val="Normal (Web)"/>
    <w:basedOn w:val="Normal"/>
    <w:uiPriority w:val="99"/>
    <w:unhideWhenUsed w:val="1"/>
    <w:rsid w:val="00E048FF"/>
    <w:pPr>
      <w:spacing w:after="100" w:afterAutospacing="1" w:before="100" w:beforeAutospacing="1" w:line="240" w:lineRule="auto"/>
    </w:pPr>
    <w:rPr>
      <w:rFonts w:ascii="Times New Roman" w:cs="Times New Roman" w:eastAsia="Times New Roman" w:hAnsi="Times New Roman"/>
      <w:sz w:val="24"/>
      <w:szCs w:val="24"/>
    </w:rPr>
  </w:style>
  <w:style w:type="paragraph" w:styleId="Encabezado">
    <w:name w:val="header"/>
    <w:basedOn w:val="Normal"/>
    <w:link w:val="EncabezadoCar"/>
    <w:uiPriority w:val="99"/>
    <w:unhideWhenUsed w:val="1"/>
    <w:rsid w:val="0057098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70988"/>
  </w:style>
  <w:style w:type="paragraph" w:styleId="Piedepgina">
    <w:name w:val="footer"/>
    <w:basedOn w:val="Normal"/>
    <w:link w:val="PiedepginaCar"/>
    <w:uiPriority w:val="99"/>
    <w:unhideWhenUsed w:val="1"/>
    <w:rsid w:val="0057098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70988"/>
  </w:style>
  <w:style w:type="paragraph" w:styleId="Prrafodelista">
    <w:name w:val="List Paragraph"/>
    <w:basedOn w:val="Normal"/>
    <w:uiPriority w:val="34"/>
    <w:qFormat w:val="1"/>
    <w:rsid w:val="00570988"/>
    <w:pPr>
      <w:ind w:left="720"/>
      <w:contextualSpacing w:val="1"/>
    </w:pPr>
  </w:style>
  <w:style w:type="paragraph" w:styleId="Revisin">
    <w:name w:val="Revision"/>
    <w:hidden w:val="1"/>
    <w:uiPriority w:val="99"/>
    <w:semiHidden w:val="1"/>
    <w:rsid w:val="00D044D0"/>
    <w:pPr>
      <w:spacing w:after="0" w:line="240" w:lineRule="auto"/>
    </w:pPr>
  </w:style>
  <w:style w:type="character" w:styleId="Refdecomentario">
    <w:name w:val="annotation reference"/>
    <w:basedOn w:val="Fuentedeprrafopredeter"/>
    <w:uiPriority w:val="99"/>
    <w:semiHidden w:val="1"/>
    <w:unhideWhenUsed w:val="1"/>
    <w:rsid w:val="00D044D0"/>
    <w:rPr>
      <w:sz w:val="16"/>
      <w:szCs w:val="16"/>
    </w:rPr>
  </w:style>
  <w:style w:type="paragraph" w:styleId="Textocomentario">
    <w:name w:val="annotation text"/>
    <w:basedOn w:val="Normal"/>
    <w:link w:val="TextocomentarioCar"/>
    <w:uiPriority w:val="99"/>
    <w:semiHidden w:val="1"/>
    <w:unhideWhenUsed w:val="1"/>
    <w:rsid w:val="00D044D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D044D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044D0"/>
    <w:rPr>
      <w:b w:val="1"/>
      <w:bCs w:val="1"/>
    </w:rPr>
  </w:style>
  <w:style w:type="character" w:styleId="AsuntodelcomentarioCar" w:customStyle="1">
    <w:name w:val="Asunto del comentario Car"/>
    <w:basedOn w:val="TextocomentarioCar"/>
    <w:link w:val="Asuntodelcomentario"/>
    <w:uiPriority w:val="99"/>
    <w:semiHidden w:val="1"/>
    <w:rsid w:val="00D044D0"/>
    <w:rPr>
      <w:b w:val="1"/>
      <w:bCs w:val="1"/>
      <w:sz w:val="20"/>
      <w:szCs w:val="20"/>
    </w:rPr>
  </w:style>
  <w:style w:type="paragraph" w:styleId="Textodeglobo">
    <w:name w:val="Balloon Text"/>
    <w:basedOn w:val="Normal"/>
    <w:link w:val="TextodegloboCar"/>
    <w:uiPriority w:val="99"/>
    <w:semiHidden w:val="1"/>
    <w:unhideWhenUsed w:val="1"/>
    <w:rsid w:val="006563F2"/>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563F2"/>
    <w:rPr>
      <w:rFonts w:ascii="Segoe UI" w:cs="Segoe UI" w:hAnsi="Segoe UI"/>
      <w:sz w:val="18"/>
      <w:szCs w:val="18"/>
    </w:rPr>
  </w:style>
  <w:style w:type="paragraph" w:styleId="Subttulo">
    <w:name w:val="Subtitle"/>
    <w:basedOn w:val="Normal"/>
    <w:next w:val="Normal"/>
    <w:rsid w:val="00D334D6"/>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cinthia.manana@actitud.es" TargetMode="External"/><Relationship Id="rId9" Type="http://schemas.openxmlformats.org/officeDocument/2006/relationships/hyperlink" Target="https://www.coit.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aeit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6AN2KdViHcC0EZg76lg9cjuBGA==">AMUW2mXuXXzo+IBWbjWfy7UKlLXfzwC3Czm+zYguX6L62mMB3CroEg8sHEDayXqmKlK5yVM2Gmp5iFRekdAd8grkbo857LkNIpKmW0fOEzQ2HHM9jFtl0il+GgJq4ohQmxqFC5Wkm3yf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2022-06-08T15:57:00Z</dcterms:created>
  <dc:creator>Cuenta Microsoft</dc:creator>
</cp:coreProperties>
</file>