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e3e3e3" w:space="0" w:sz="0" w:val="none"/>
          <w:left w:color="e3e3e3" w:space="0" w:sz="0" w:val="none"/>
          <w:bottom w:color="e3e3e3" w:space="0" w:sz="0" w:val="none"/>
          <w:right w:color="e3e3e3" w:space="0" w:sz="0" w:val="none"/>
          <w:between w:color="e3e3e3" w:space="0" w:sz="0" w:val="none"/>
        </w:pBdr>
        <w:shd w:fill="ffffff" w:val="clear"/>
        <w:spacing w:after="200" w:line="240" w:lineRule="auto"/>
        <w:rPr>
          <w:b w:val="1"/>
          <w:bCs w:val="1"/>
        </w:rPr>
      </w:pPr>
      <w:r w:rsidDel="00000000" w:rsidR="00000000" w:rsidRPr="00000000">
        <w:rPr>
          <w:b w:val="1"/>
          <w:bCs w:val="1"/>
          <w:rtl w:val="0"/>
        </w:rPr>
        <w:t xml:space="preserve">Ante las propuestas del Gobierno y las conclusiones del informe PISA</w:t>
      </w:r>
      <w:r w:rsidDel="00000000" w:rsidR="00000000" w:rsidRPr="00000000">
        <w:rPr>
          <w:rtl w:val="0"/>
        </w:rPr>
      </w:r>
    </w:p>
    <w:p w:rsidR="00000000" w:rsidDel="00000000" w:rsidP="00000000" w:rsidRDefault="00000000" w:rsidRPr="00000000" w14:paraId="00000002">
      <w:pPr>
        <w:pBdr>
          <w:top w:color="e3e3e3" w:space="0" w:sz="0" w:val="none"/>
          <w:left w:color="e3e3e3" w:space="0" w:sz="0" w:val="none"/>
          <w:bottom w:color="e3e3e3" w:space="0" w:sz="0" w:val="none"/>
          <w:right w:color="e3e3e3" w:space="0" w:sz="0" w:val="none"/>
          <w:between w:color="e3e3e3" w:space="0" w:sz="0" w:val="none"/>
        </w:pBdr>
        <w:shd w:fill="ffffff" w:val="clear"/>
        <w:spacing w:after="0" w:line="24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Redes sociales y menores: </w:t>
      </w:r>
    </w:p>
    <w:p w:rsidR="00000000" w:rsidDel="00000000" w:rsidP="00000000" w:rsidRDefault="00000000" w:rsidRPr="00000000" w14:paraId="00000003">
      <w:pPr>
        <w:pBdr>
          <w:top w:color="e3e3e3" w:space="0" w:sz="0" w:val="none"/>
          <w:left w:color="e3e3e3" w:space="0" w:sz="0" w:val="none"/>
          <w:bottom w:color="e3e3e3" w:space="0" w:sz="0" w:val="none"/>
          <w:right w:color="e3e3e3" w:space="0" w:sz="0" w:val="none"/>
          <w:between w:color="e3e3e3" w:space="0" w:sz="0" w:val="none"/>
        </w:pBdr>
        <w:shd w:fill="ffffff" w:val="clear"/>
        <w:spacing w:after="200" w:line="240" w:lineRule="auto"/>
        <w:jc w:val="center"/>
        <w:rPr>
          <w:rFonts w:ascii="Calibri" w:cs="Calibri" w:eastAsia="Calibri" w:hAnsi="Calibri"/>
          <w:b w:val="1"/>
          <w:bCs w:val="1"/>
          <w:sz w:val="20"/>
          <w:szCs w:val="20"/>
          <w:u w:val="single"/>
        </w:rPr>
      </w:pPr>
      <w:r w:rsidDel="00000000" w:rsidR="00000000" w:rsidRPr="00000000">
        <w:rPr>
          <w:rFonts w:ascii="Calibri" w:cs="Calibri" w:eastAsia="Calibri" w:hAnsi="Calibri"/>
          <w:b w:val="1"/>
          <w:bCs w:val="1"/>
          <w:sz w:val="44"/>
          <w:szCs w:val="44"/>
          <w:rtl w:val="0"/>
        </w:rPr>
        <w:t xml:space="preserve">¿Y si prohibir no fuera la respuesta? </w:t>
      </w:r>
      <w:r w:rsidDel="00000000" w:rsidR="00000000" w:rsidRPr="00000000">
        <w:rPr>
          <w:rtl w:val="0"/>
        </w:rPr>
      </w:r>
    </w:p>
    <w:p w:rsidR="00000000" w:rsidDel="00000000" w:rsidP="00000000" w:rsidRDefault="00000000" w:rsidRPr="00000000" w14:paraId="00000004">
      <w:pPr>
        <w:pBdr>
          <w:top w:color="e3e3e3" w:space="0" w:sz="0" w:val="none"/>
          <w:left w:color="e3e3e3" w:space="0" w:sz="0" w:val="none"/>
          <w:bottom w:color="e3e3e3" w:space="0" w:sz="0" w:val="none"/>
          <w:right w:color="e3e3e3" w:space="0" w:sz="0" w:val="none"/>
          <w:between w:color="e3e3e3" w:space="0" w:sz="0" w:val="none"/>
        </w:pBdr>
        <w:shd w:fill="ffffff" w:val="clear"/>
        <w:spacing w:after="200" w:line="24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La psicóloga Conchita Sisí, directora de la </w:t>
      </w:r>
      <w:hyperlink r:id="rId6">
        <w:r w:rsidDel="00000000" w:rsidR="00000000" w:rsidRPr="00000000">
          <w:rPr>
            <w:rFonts w:ascii="Calibri" w:cs="Calibri" w:eastAsia="Calibri" w:hAnsi="Calibri"/>
            <w:b w:val="1"/>
            <w:bCs w:val="1"/>
            <w:i w:val="1"/>
            <w:iCs w:val="1"/>
            <w:color w:val="1155cc"/>
            <w:sz w:val="24"/>
            <w:szCs w:val="24"/>
            <w:u w:val="single"/>
            <w:rtl w:val="0"/>
          </w:rPr>
          <w:t xml:space="preserve">Clínica Salud en Mente</w:t>
        </w:r>
      </w:hyperlink>
      <w:r w:rsidDel="00000000" w:rsidR="00000000" w:rsidRPr="00000000">
        <w:rPr>
          <w:rFonts w:ascii="Calibri" w:cs="Calibri" w:eastAsia="Calibri" w:hAnsi="Calibri"/>
          <w:b w:val="1"/>
          <w:bCs w:val="1"/>
          <w:i w:val="1"/>
          <w:iCs w:val="1"/>
          <w:sz w:val="24"/>
          <w:szCs w:val="24"/>
          <w:rtl w:val="0"/>
        </w:rPr>
        <w:t xml:space="preserve">, reclama evidencia antes que restricciones generalizadas</w:t>
      </w:r>
    </w:p>
    <w:p w:rsidR="00000000" w:rsidDel="00000000" w:rsidP="00000000" w:rsidRDefault="00000000" w:rsidRPr="00000000" w14:paraId="00000005">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200" w:before="200" w:line="240" w:lineRule="auto"/>
        <w:ind w:left="720" w:hanging="360"/>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Ni “móviles sí” ni “móviles no”; lo realmente importante es para qué se usan, cuánto, cuándo y qué dejan de hacer los menores por usarlos</w:t>
      </w:r>
    </w:p>
    <w:p w:rsidR="00000000" w:rsidDel="00000000" w:rsidP="00000000" w:rsidRDefault="00000000" w:rsidRPr="00000000" w14:paraId="00000006">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200" w:before="0" w:line="240" w:lineRule="auto"/>
        <w:ind w:left="720" w:hanging="360"/>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El informe PISA apunta a un problema de atención, pero no demuestra que la tecnología sea la causa</w:t>
      </w:r>
    </w:p>
    <w:p w:rsidR="00000000" w:rsidDel="00000000" w:rsidP="00000000" w:rsidRDefault="00000000" w:rsidRPr="00000000" w14:paraId="00000007">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200" w:before="0" w:line="240" w:lineRule="auto"/>
        <w:ind w:left="720" w:hanging="360"/>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Propone educación digital, acompañamiento familiar y más responsabilidad de las plataformas antes que una prohibición generalizada</w:t>
      </w:r>
      <w:r w:rsidDel="00000000" w:rsidR="00000000" w:rsidRPr="00000000">
        <w:rPr>
          <w:rtl w:val="0"/>
        </w:rPr>
      </w:r>
    </w:p>
    <w:p w:rsidR="00000000" w:rsidDel="00000000" w:rsidP="00000000" w:rsidRDefault="00000000" w:rsidRPr="00000000" w14:paraId="00000008">
      <w:pPr>
        <w:pBdr>
          <w:top w:color="e3e3e3" w:space="0" w:sz="0" w:val="none"/>
          <w:left w:color="e3e3e3" w:space="0" w:sz="0" w:val="none"/>
          <w:bottom w:color="e3e3e3" w:space="0" w:sz="0" w:val="none"/>
          <w:right w:color="e3e3e3" w:space="0" w:sz="0" w:val="none"/>
          <w:between w:color="e3e3e3" w:space="0" w:sz="0" w:val="none"/>
        </w:pBdr>
        <w:shd w:fill="ffffff" w:val="clear"/>
        <w:spacing w:before="200" w:line="240"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Madrid, 22 de septiembre de 2026.-</w:t>
      </w:r>
      <w:r w:rsidDel="00000000" w:rsidR="00000000" w:rsidRPr="00000000">
        <w:rPr>
          <w:rFonts w:ascii="Calibri" w:cs="Calibri" w:eastAsia="Calibri" w:hAnsi="Calibri"/>
          <w:sz w:val="24"/>
          <w:szCs w:val="24"/>
          <w:rtl w:val="0"/>
        </w:rPr>
        <w:t xml:space="preserve"> España vive un debate que ya está en las familias, las aulas y los medios: ¿hay que sacar los móviles y las redes sociales de la vida de los menores?</w:t>
      </w:r>
    </w:p>
    <w:p w:rsidR="00000000" w:rsidDel="00000000" w:rsidP="00000000" w:rsidRDefault="00000000" w:rsidRPr="00000000" w14:paraId="00000009">
      <w:pPr>
        <w:pBdr>
          <w:top w:color="e3e3e3" w:space="0" w:sz="0" w:val="none"/>
          <w:left w:color="e3e3e3" w:space="0" w:sz="0" w:val="none"/>
          <w:bottom w:color="e3e3e3" w:space="0" w:sz="0" w:val="none"/>
          <w:right w:color="e3e3e3" w:space="0" w:sz="0" w:val="none"/>
          <w:between w:color="e3e3e3" w:space="0" w:sz="0" w:val="none"/>
        </w:pBdr>
        <w:shd w:fill="ffffff" w:val="clear"/>
        <w:spacing w:before="20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Gobierno lleva anunciando desde hace meses que prohibirá el acceso a redes sociales a menores de dieciséis años y obligará a las plataformas a implantar sistemas efectivos de verificación de edad. Además, a principios de septiembre, el informe PISA 2025 ha dado una nueva excusa a quienes apoyan estas medidas:  los resultados en comprensión lectora empeoran cuanto más tiempo dedican los alumnos a los dispositivos digitales con fines de ocio, según advirtió la OCDE.</w:t>
      </w:r>
    </w:p>
    <w:p w:rsidR="00000000" w:rsidDel="00000000" w:rsidP="00000000" w:rsidRDefault="00000000" w:rsidRPr="00000000" w14:paraId="0000000A">
      <w:pPr>
        <w:pBdr>
          <w:top w:color="e3e3e3" w:space="0" w:sz="0" w:val="none"/>
          <w:left w:color="e3e3e3" w:space="0" w:sz="0" w:val="none"/>
          <w:bottom w:color="e3e3e3" w:space="0" w:sz="0" w:val="none"/>
          <w:right w:color="e3e3e3" w:space="0" w:sz="0" w:val="none"/>
          <w:between w:color="e3e3e3" w:space="0" w:sz="0" w:val="none"/>
        </w:pBdr>
        <w:shd w:fill="ffffff" w:val="clear"/>
        <w:spacing w:after="200" w:before="200"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Los debates y las posturas</w:t>
      </w:r>
    </w:p>
    <w:p w:rsidR="00000000" w:rsidDel="00000000" w:rsidP="00000000" w:rsidRDefault="00000000" w:rsidRPr="00000000" w14:paraId="0000000B">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200" w:before="0" w:line="24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Móviles: ¿sí o no? </w:t>
      </w:r>
      <w:r w:rsidDel="00000000" w:rsidR="00000000" w:rsidRPr="00000000">
        <w:rPr>
          <w:rFonts w:ascii="Calibri" w:cs="Calibri" w:eastAsia="Calibri" w:hAnsi="Calibri"/>
          <w:sz w:val="24"/>
          <w:szCs w:val="24"/>
          <w:rtl w:val="0"/>
        </w:rPr>
        <w:t xml:space="preserve">Quienes defienden retirarlos se apoyan en los datos: el 29 % de los estudiantes españoles afirma que los dispositivos digitales son una distracción en la mayoría de las clases de ciencias y quienes viven ese entorno obtienen 16 puntos menos en esa materia. Por otra parte, hay que señalar que los estudiantes también usan estos dispositivos para aprender, investigar y crear, y que la propia OCDE recomienda no limitarse a prohibir.</w:t>
      </w:r>
    </w:p>
    <w:p w:rsidR="00000000" w:rsidDel="00000000" w:rsidP="00000000" w:rsidRDefault="00000000" w:rsidRPr="00000000" w14:paraId="0000000C">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200" w:before="0" w:line="24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Redes sociales: ¿sí o no? </w:t>
      </w:r>
      <w:r w:rsidDel="00000000" w:rsidR="00000000" w:rsidRPr="00000000">
        <w:rPr>
          <w:rFonts w:ascii="Calibri" w:cs="Calibri" w:eastAsia="Calibri" w:hAnsi="Calibri"/>
          <w:sz w:val="24"/>
          <w:szCs w:val="24"/>
          <w:rtl w:val="0"/>
        </w:rPr>
        <w:t xml:space="preserve">Para unos, prohibir su acceso a los menores de 16 años les protege de contenidos y diseños que para captar -en exceso- su atención. Para otros, es una medida difícil de aplicar y con riesgo de resultar una medida más superficial que eficaz, además de privar a los adolescentes de espacios de conexión y apoyo social.</w:t>
      </w:r>
    </w:p>
    <w:p w:rsidR="00000000" w:rsidDel="00000000" w:rsidP="00000000" w:rsidRDefault="00000000" w:rsidRPr="00000000" w14:paraId="0000000D">
      <w:pPr>
        <w:pBdr>
          <w:top w:color="e3e3e3" w:space="0" w:sz="0" w:val="none"/>
          <w:left w:color="e3e3e3" w:space="0" w:sz="0" w:val="none"/>
          <w:bottom w:color="e3e3e3" w:space="0" w:sz="0" w:val="none"/>
          <w:right w:color="e3e3e3" w:space="0" w:sz="0" w:val="none"/>
          <w:between w:color="e3e3e3" w:space="0" w:sz="0" w:val="none"/>
        </w:pBdr>
        <w:shd w:fill="ffffff" w:val="clear"/>
        <w:spacing w:after="200" w:before="200"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Otra opción</w:t>
      </w:r>
    </w:p>
    <w:p w:rsidR="00000000" w:rsidDel="00000000" w:rsidP="00000000" w:rsidRDefault="00000000" w:rsidRPr="00000000" w14:paraId="0000000E">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200" w:before="0" w:line="240"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En medio de la polarización, </w:t>
      </w:r>
      <w:r w:rsidDel="00000000" w:rsidR="00000000" w:rsidRPr="00000000">
        <w:rPr>
          <w:rFonts w:ascii="Calibri" w:cs="Calibri" w:eastAsia="Calibri" w:hAnsi="Calibri"/>
          <w:b w:val="1"/>
          <w:bCs w:val="1"/>
          <w:sz w:val="24"/>
          <w:szCs w:val="24"/>
          <w:rtl w:val="0"/>
        </w:rPr>
        <w:t xml:space="preserve">Conchita Sisí, psicóloga especializada en adultos jóvenes y directora del Centro Salud en Mente, propone cambiar la pregunta</w:t>
      </w:r>
      <w:r w:rsidDel="00000000" w:rsidR="00000000" w:rsidRPr="00000000">
        <w:rPr>
          <w:rFonts w:ascii="Calibri" w:cs="Calibri" w:eastAsia="Calibri" w:hAnsi="Calibri"/>
          <w:sz w:val="24"/>
          <w:szCs w:val="24"/>
          <w:rtl w:val="0"/>
        </w:rPr>
        <w:t xml:space="preserve">. “No es si un menor debe tener móvil o redes, sino con qué acompañamiento, con qué finalidad y con qué garantías por parte de las plataformas y, también, con qué vigilancia o supervisión de adultos que le guíen. </w:t>
      </w:r>
      <w:r w:rsidDel="00000000" w:rsidR="00000000" w:rsidRPr="00000000">
        <w:rPr>
          <w:rFonts w:ascii="Calibri" w:cs="Calibri" w:eastAsia="Calibri" w:hAnsi="Calibri"/>
          <w:b w:val="1"/>
          <w:bCs w:val="1"/>
          <w:sz w:val="24"/>
          <w:szCs w:val="24"/>
          <w:rtl w:val="0"/>
        </w:rPr>
        <w:t xml:space="preserve">El contexto es clave.”</w:t>
      </w:r>
    </w:p>
    <w:p w:rsidR="00000000" w:rsidDel="00000000" w:rsidP="00000000" w:rsidRDefault="00000000" w:rsidRPr="00000000" w14:paraId="0000000F">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200" w:before="0" w:line="24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Sisí</w:t>
      </w:r>
      <w:r w:rsidDel="00000000" w:rsidR="00000000" w:rsidRPr="00000000">
        <w:rPr>
          <w:rFonts w:ascii="Calibri" w:cs="Calibri" w:eastAsia="Calibri" w:hAnsi="Calibri"/>
          <w:sz w:val="24"/>
          <w:szCs w:val="24"/>
          <w:rtl w:val="0"/>
        </w:rPr>
        <w:t xml:space="preserve"> recuerda que el informe PISA “no permite atribuir el problema a la tecnología en sí”. Los propios datos no demuestran que retirar el teléfono suponga automáticamente una mejora equivalente. “PISA nos muestra que tenemos un problema que abordar en relación con la atención, la distracción y determinados usos de la tecnología. Pero precisamente sus resultados nos confirman que tenemos que mirar el contexto y la finalidad del uso.”</w:t>
      </w:r>
    </w:p>
    <w:p w:rsidR="00000000" w:rsidDel="00000000" w:rsidP="00000000" w:rsidRDefault="00000000" w:rsidRPr="00000000" w14:paraId="00000010">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200" w:before="0" w:line="24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Tampoco cree que las redes sean solo un riesgo: “Pueden ofrecer oportunidades de conexión y apoyo social, y sus efectos varían según los contenidos, las formas de uso y las circunstancias de cada persona.”</w:t>
      </w:r>
    </w:p>
    <w:p w:rsidR="00000000" w:rsidDel="00000000" w:rsidP="00000000" w:rsidRDefault="00000000" w:rsidRPr="00000000" w14:paraId="00000011">
      <w:pPr>
        <w:pBdr>
          <w:top w:color="e3e3e3" w:space="0" w:sz="0" w:val="none"/>
          <w:left w:color="e3e3e3" w:space="0" w:sz="0" w:val="none"/>
          <w:bottom w:color="e3e3e3" w:space="0" w:sz="0" w:val="none"/>
          <w:right w:color="e3e3e3" w:space="0" w:sz="0" w:val="none"/>
          <w:between w:color="e3e3e3" w:space="0" w:sz="0" w:val="none"/>
        </w:pBdr>
        <w:shd w:fill="ffffff" w:val="clear"/>
        <w:spacing w:after="200" w:before="200"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Propuestas</w:t>
      </w:r>
    </w:p>
    <w:p w:rsidR="00000000" w:rsidDel="00000000" w:rsidP="00000000" w:rsidRDefault="00000000" w:rsidRPr="00000000" w14:paraId="00000012">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200" w:before="0" w:line="24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Una de las principales propuestas que la psicóloga defiende está centrada en </w:t>
      </w:r>
      <w:r w:rsidDel="00000000" w:rsidR="00000000" w:rsidRPr="00000000">
        <w:rPr>
          <w:rFonts w:ascii="Calibri" w:cs="Calibri" w:eastAsia="Calibri" w:hAnsi="Calibri"/>
          <w:b w:val="1"/>
          <w:bCs w:val="1"/>
          <w:sz w:val="24"/>
          <w:szCs w:val="24"/>
          <w:rtl w:val="0"/>
        </w:rPr>
        <w:t xml:space="preserve">reducir los usos perjudiciales y enseñar a los menores a relacionarse con la tecnología de forma saludable. </w:t>
      </w:r>
      <w:r w:rsidDel="00000000" w:rsidR="00000000" w:rsidRPr="00000000">
        <w:rPr>
          <w:rFonts w:ascii="Calibri" w:cs="Calibri" w:eastAsia="Calibri" w:hAnsi="Calibri"/>
          <w:b w:val="1"/>
          <w:bCs w:val="1"/>
          <w:sz w:val="24"/>
          <w:szCs w:val="24"/>
          <w:rtl w:val="0"/>
        </w:rPr>
        <w:t xml:space="preserve">Combinarían</w:t>
      </w:r>
      <w:r w:rsidDel="00000000" w:rsidR="00000000" w:rsidRPr="00000000">
        <w:rPr>
          <w:rFonts w:ascii="Calibri" w:cs="Calibri" w:eastAsia="Calibri" w:hAnsi="Calibri"/>
          <w:b w:val="1"/>
          <w:bCs w:val="1"/>
          <w:sz w:val="24"/>
          <w:szCs w:val="24"/>
          <w:rtl w:val="0"/>
        </w:rPr>
        <w:t xml:space="preserve"> educación digital, acompañamiento familiar adaptado a la edad, alfabetización mediática y prevención de los usos problemáticos. También exige más responsabilidad a las plataformas</w:t>
      </w:r>
      <w:r w:rsidDel="00000000" w:rsidR="00000000" w:rsidRPr="00000000">
        <w:rPr>
          <w:rFonts w:ascii="Calibri" w:cs="Calibri" w:eastAsia="Calibri" w:hAnsi="Calibri"/>
          <w:sz w:val="24"/>
          <w:szCs w:val="24"/>
          <w:rtl w:val="0"/>
        </w:rPr>
        <w:t xml:space="preserve"> y una evaluación rigurosa de la eficacia y las consecuencias de cualquier restricción antes de </w:t>
      </w:r>
      <w:r w:rsidDel="00000000" w:rsidR="00000000" w:rsidRPr="00000000">
        <w:rPr>
          <w:rFonts w:ascii="Calibri" w:cs="Calibri" w:eastAsia="Calibri" w:hAnsi="Calibri"/>
          <w:sz w:val="24"/>
          <w:szCs w:val="24"/>
          <w:rtl w:val="0"/>
        </w:rPr>
        <w:t xml:space="preserve">generalizarla</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3">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200" w:before="0" w:line="24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Por supuesto, también supone una mayor responsabilidad de los padres, ya que para muchos “es más sencillo que las autoridades tomen las decisiones -de prohibir- por ellos y, por tanto, se sienten en parte liberados de no tener que hacer de policía tecnológica con sus hijos”</w:t>
      </w:r>
    </w:p>
    <w:p w:rsidR="00000000" w:rsidDel="00000000" w:rsidP="00000000" w:rsidRDefault="00000000" w:rsidRPr="00000000" w14:paraId="00000014">
      <w:pPr>
        <w:pBdr>
          <w:top w:color="e3e3e3" w:space="0" w:sz="0" w:val="none"/>
          <w:left w:color="e3e3e3" w:space="0" w:sz="0" w:val="none"/>
          <w:bottom w:color="e3e3e3" w:space="0" w:sz="0" w:val="none"/>
          <w:right w:color="e3e3e3" w:space="0" w:sz="0" w:val="none"/>
          <w:between w:color="e3e3e3" w:space="0" w:sz="0" w:val="none"/>
        </w:pBdr>
        <w:shd w:fill="ffffff" w:val="clear"/>
        <w:spacing w:line="240" w:lineRule="auto"/>
        <w:rPr>
          <w:rFonts w:ascii="Calibri" w:cs="Calibri" w:eastAsia="Calibri" w:hAnsi="Calibri"/>
          <w:b w:val="1"/>
          <w:bCs w:val="1"/>
          <w:sz w:val="20"/>
          <w:szCs w:val="20"/>
          <w:u w:val="single"/>
        </w:rPr>
      </w:pPr>
      <w:r w:rsidDel="00000000" w:rsidR="00000000" w:rsidRPr="00000000">
        <w:rPr>
          <w:rFonts w:ascii="Calibri" w:cs="Calibri" w:eastAsia="Calibri" w:hAnsi="Calibri"/>
          <w:b w:val="1"/>
          <w:bCs w:val="1"/>
          <w:sz w:val="20"/>
          <w:szCs w:val="20"/>
          <w:u w:val="single"/>
          <w:rtl w:val="0"/>
        </w:rPr>
        <w:t xml:space="preserve">Sobre Conchita Sisí y Cínica Salud en Mente</w:t>
      </w:r>
    </w:p>
    <w:p w:rsidR="00000000" w:rsidDel="00000000" w:rsidP="00000000" w:rsidRDefault="00000000" w:rsidRPr="00000000" w14:paraId="00000015">
      <w:pPr>
        <w:pBdr>
          <w:top w:color="e3e3e3" w:space="0" w:sz="0" w:val="none"/>
          <w:left w:color="e3e3e3" w:space="0" w:sz="0" w:val="none"/>
          <w:bottom w:color="e3e3e3" w:space="0" w:sz="0" w:val="none"/>
          <w:right w:color="e3e3e3" w:space="0" w:sz="0" w:val="none"/>
          <w:between w:color="e3e3e3" w:space="0" w:sz="0" w:val="none"/>
        </w:pBdr>
        <w:shd w:fill="ffffff" w:val="clear"/>
        <w:spacing w:line="240" w:lineRule="auto"/>
        <w:rPr>
          <w:rFonts w:ascii="Calibri" w:cs="Calibri" w:eastAsia="Calibri" w:hAnsi="Calibri"/>
          <w:b w:val="1"/>
          <w:bCs w:val="1"/>
          <w:sz w:val="20"/>
          <w:szCs w:val="20"/>
          <w:u w:val="single"/>
        </w:rPr>
      </w:pPr>
      <w:r w:rsidDel="00000000" w:rsidR="00000000" w:rsidRPr="00000000">
        <w:rPr>
          <w:rtl w:val="0"/>
        </w:rPr>
      </w:r>
    </w:p>
    <w:p w:rsidR="00000000" w:rsidDel="00000000" w:rsidP="00000000" w:rsidRDefault="00000000" w:rsidRPr="00000000" w14:paraId="00000016">
      <w:pPr>
        <w:pBdr>
          <w:top w:color="e3e3e3" w:space="0" w:sz="0" w:val="none"/>
          <w:left w:color="e3e3e3" w:space="0" w:sz="0" w:val="none"/>
          <w:bottom w:color="e3e3e3" w:space="0" w:sz="0" w:val="none"/>
          <w:right w:color="e3e3e3" w:space="0" w:sz="0" w:val="none"/>
          <w:between w:color="e3e3e3" w:space="0" w:sz="0" w:val="none"/>
        </w:pBdr>
        <w:shd w:fill="ffffff" w:val="clear"/>
        <w:spacing w:line="240" w:lineRule="auto"/>
        <w:rPr>
          <w:rFonts w:ascii="Calibri" w:cs="Calibri" w:eastAsia="Calibri" w:hAnsi="Calibri"/>
          <w:sz w:val="20"/>
          <w:szCs w:val="20"/>
        </w:rPr>
      </w:pPr>
      <w:hyperlink r:id="rId7">
        <w:r w:rsidDel="00000000" w:rsidR="00000000" w:rsidRPr="00000000">
          <w:rPr>
            <w:rFonts w:ascii="Calibri" w:cs="Calibri" w:eastAsia="Calibri" w:hAnsi="Calibri"/>
            <w:color w:val="1155cc"/>
            <w:sz w:val="20"/>
            <w:szCs w:val="20"/>
            <w:u w:val="single"/>
            <w:rtl w:val="0"/>
          </w:rPr>
          <w:t xml:space="preserve">Conchita Sisí Martín</w:t>
        </w:r>
      </w:hyperlink>
      <w:r w:rsidDel="00000000" w:rsidR="00000000" w:rsidRPr="00000000">
        <w:rPr>
          <w:rFonts w:ascii="Calibri" w:cs="Calibri" w:eastAsia="Calibri" w:hAnsi="Calibri"/>
          <w:sz w:val="20"/>
          <w:szCs w:val="20"/>
          <w:rtl w:val="0"/>
        </w:rPr>
        <w:t xml:space="preserve"> es psicóloga, especializada en Psicología de adulto jóven, residente en Madrid. Cuenta con gran preparación profesional en el ámbito de la Psicología, incluyendo su Grado en Psicología Clínica, un Máster en Psicología General Sanitaria, varios cursos de manejo del estrés, así como de técnicas de intervención, estancias internacionales de investigación, y un Doctorado en Ciencias de la Salud que cursa actualmente, entre otros. Además, desarrolla su actividad como docente en UNIE Universidad y es Directora del Grado en Psicología en inglés.</w:t>
      </w:r>
    </w:p>
    <w:p w:rsidR="00000000" w:rsidDel="00000000" w:rsidP="00000000" w:rsidRDefault="00000000" w:rsidRPr="00000000" w14:paraId="00000017">
      <w:pPr>
        <w:pBdr>
          <w:top w:color="e3e3e3" w:space="0" w:sz="0" w:val="none"/>
          <w:left w:color="e3e3e3" w:space="0" w:sz="0" w:val="none"/>
          <w:bottom w:color="e3e3e3" w:space="0" w:sz="0" w:val="none"/>
          <w:right w:color="e3e3e3" w:space="0" w:sz="0" w:val="none"/>
          <w:between w:color="e3e3e3" w:space="0" w:sz="0" w:val="none"/>
        </w:pBdr>
        <w:shd w:fill="ffffff" w:val="clea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8">
      <w:pPr>
        <w:pBdr>
          <w:top w:color="e3e3e3" w:space="0" w:sz="0" w:val="none"/>
          <w:left w:color="e3e3e3" w:space="0" w:sz="0" w:val="none"/>
          <w:bottom w:color="e3e3e3" w:space="0" w:sz="0" w:val="none"/>
          <w:right w:color="e3e3e3" w:space="0" w:sz="0" w:val="none"/>
          <w:between w:color="e3e3e3" w:space="0" w:sz="0" w:val="none"/>
        </w:pBdr>
        <w:shd w:fill="ffffff" w:val="clea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Aunque está preparada para atender en diversos campos de la salud mental, Conchita es experta en tratar trastornos de  ansiedad, trastornos del estado de ánimo y estrés, en adultos jóvenes. </w:t>
      </w:r>
    </w:p>
    <w:p w:rsidR="00000000" w:rsidDel="00000000" w:rsidP="00000000" w:rsidRDefault="00000000" w:rsidRPr="00000000" w14:paraId="00000019">
      <w:pPr>
        <w:pBdr>
          <w:top w:color="e3e3e3" w:space="0" w:sz="0" w:val="none"/>
          <w:left w:color="e3e3e3" w:space="0" w:sz="0" w:val="none"/>
          <w:bottom w:color="e3e3e3" w:space="0" w:sz="0" w:val="none"/>
          <w:right w:color="e3e3e3" w:space="0" w:sz="0" w:val="none"/>
          <w:between w:color="e3e3e3" w:space="0" w:sz="0" w:val="none"/>
        </w:pBdr>
        <w:shd w:fill="ffffff" w:val="clea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A">
      <w:pPr>
        <w:pBdr>
          <w:top w:color="e3e3e3" w:space="0" w:sz="0" w:val="none"/>
          <w:left w:color="e3e3e3" w:space="0" w:sz="0" w:val="none"/>
          <w:bottom w:color="e3e3e3" w:space="0" w:sz="0" w:val="none"/>
          <w:right w:color="e3e3e3" w:space="0" w:sz="0" w:val="none"/>
          <w:between w:color="e3e3e3" w:space="0" w:sz="0" w:val="none"/>
        </w:pBdr>
        <w:shd w:fill="ffffff" w:val="clea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 el fin de crear un entorno de seguridad y confianza para el paciente, puso en marcha su centro: Clínica Salud en Mente, ofreciendo consultas tanto presenciales como online. </w:t>
      </w:r>
    </w:p>
    <w:p w:rsidR="00000000" w:rsidDel="00000000" w:rsidP="00000000" w:rsidRDefault="00000000" w:rsidRPr="00000000" w14:paraId="0000001B">
      <w:pPr>
        <w:pBdr>
          <w:top w:color="e3e3e3" w:space="0" w:sz="0" w:val="none"/>
          <w:left w:color="e3e3e3" w:space="0" w:sz="0" w:val="none"/>
          <w:bottom w:color="e3e3e3" w:space="0" w:sz="0" w:val="none"/>
          <w:right w:color="e3e3e3" w:space="0" w:sz="0" w:val="none"/>
          <w:between w:color="e3e3e3" w:space="0" w:sz="0" w:val="none"/>
        </w:pBdr>
        <w:shd w:fill="ffffff" w:val="clea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C">
      <w:pPr>
        <w:spacing w:after="160" w:line="240" w:lineRule="auto"/>
        <w:jc w:val="both"/>
        <w:rPr>
          <w:rFonts w:ascii="Calibri" w:cs="Calibri" w:eastAsia="Calibri" w:hAnsi="Calibri"/>
          <w:b w:val="1"/>
          <w:bCs w:val="1"/>
          <w:sz w:val="20"/>
          <w:szCs w:val="20"/>
          <w:u w:val="single"/>
        </w:rPr>
      </w:pPr>
      <w:r w:rsidDel="00000000" w:rsidR="00000000" w:rsidRPr="00000000">
        <w:rPr>
          <w:rFonts w:ascii="Calibri" w:cs="Calibri" w:eastAsia="Calibri" w:hAnsi="Calibri"/>
          <w:b w:val="1"/>
          <w:bCs w:val="1"/>
          <w:sz w:val="20"/>
          <w:szCs w:val="20"/>
          <w:u w:val="single"/>
          <w:rtl w:val="0"/>
        </w:rPr>
        <w:t xml:space="preserve">Para más información:</w:t>
      </w:r>
    </w:p>
    <w:p w:rsidR="00000000" w:rsidDel="00000000" w:rsidP="00000000" w:rsidRDefault="00000000" w:rsidRPr="00000000" w14:paraId="0000001D">
      <w:pPr>
        <w:spacing w:line="240" w:lineRule="auto"/>
        <w:jc w:val="both"/>
        <w:rPr>
          <w:rFonts w:ascii="Calibri" w:cs="Calibri" w:eastAsia="Calibri" w:hAnsi="Calibri"/>
          <w:b w:val="1"/>
          <w:bCs w:val="1"/>
          <w:sz w:val="20"/>
          <w:szCs w:val="20"/>
          <w:u w:val="single"/>
        </w:rPr>
      </w:pPr>
      <w:r w:rsidDel="00000000" w:rsidR="00000000" w:rsidRPr="00000000">
        <w:rPr>
          <w:rFonts w:ascii="Calibri" w:cs="Calibri" w:eastAsia="Calibri" w:hAnsi="Calibri"/>
          <w:b w:val="1"/>
          <w:bCs w:val="1"/>
          <w:sz w:val="20"/>
          <w:szCs w:val="20"/>
          <w:rtl w:val="0"/>
        </w:rPr>
        <w:t xml:space="preserve">Actitud de Comunicación</w:t>
      </w: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1E">
      <w:pPr>
        <w:spacing w:line="240" w:lineRule="auto"/>
        <w:jc w:val="both"/>
        <w:rPr>
          <w:rFonts w:ascii="Calibri" w:cs="Calibri" w:eastAsia="Calibri" w:hAnsi="Calibri"/>
          <w:color w:val="4a86e8"/>
          <w:sz w:val="20"/>
          <w:szCs w:val="20"/>
          <w:u w:val="single"/>
        </w:rPr>
      </w:pPr>
      <w:r w:rsidDel="00000000" w:rsidR="00000000" w:rsidRPr="00000000">
        <w:rPr>
          <w:rFonts w:ascii="Calibri" w:cs="Calibri" w:eastAsia="Calibri" w:hAnsi="Calibri"/>
          <w:b w:val="1"/>
          <w:bCs w:val="1"/>
          <w:sz w:val="20"/>
          <w:szCs w:val="20"/>
          <w:rtl w:val="0"/>
        </w:rPr>
        <w:t xml:space="preserve">Mirella Palafox</w:t>
      </w:r>
      <w:r w:rsidDel="00000000" w:rsidR="00000000" w:rsidRPr="00000000">
        <w:rPr>
          <w:rFonts w:ascii="Calibri" w:cs="Calibri" w:eastAsia="Calibri" w:hAnsi="Calibri"/>
          <w:b w:val="1"/>
          <w:bCs w:val="1"/>
          <w:sz w:val="20"/>
          <w:szCs w:val="20"/>
          <w:rtl w:val="0"/>
        </w:rPr>
        <w:t xml:space="preserve">: </w:t>
      </w:r>
      <w:hyperlink r:id="rId8">
        <w:r w:rsidDel="00000000" w:rsidR="00000000" w:rsidRPr="00000000">
          <w:rPr>
            <w:rFonts w:ascii="Calibri" w:cs="Calibri" w:eastAsia="Calibri" w:hAnsi="Calibri"/>
            <w:color w:val="1155cc"/>
            <w:sz w:val="20"/>
            <w:szCs w:val="20"/>
            <w:u w:val="single"/>
            <w:rtl w:val="0"/>
          </w:rPr>
          <w:t xml:space="preserve">mirella.palafox</w:t>
        </w:r>
      </w:hyperlink>
      <w:hyperlink r:id="rId9">
        <w:r w:rsidDel="00000000" w:rsidR="00000000" w:rsidRPr="00000000">
          <w:rPr>
            <w:rFonts w:ascii="Calibri" w:cs="Calibri" w:eastAsia="Calibri" w:hAnsi="Calibri"/>
            <w:color w:val="1155cc"/>
            <w:sz w:val="20"/>
            <w:szCs w:val="20"/>
            <w:u w:val="single"/>
            <w:rtl w:val="0"/>
          </w:rPr>
          <w:t xml:space="preserve">@actitud.es</w:t>
        </w:r>
      </w:hyperlink>
      <w:r w:rsidDel="00000000" w:rsidR="00000000" w:rsidRPr="00000000">
        <w:rPr>
          <w:rtl w:val="0"/>
        </w:rPr>
      </w:r>
    </w:p>
    <w:p w:rsidR="00000000" w:rsidDel="00000000" w:rsidP="00000000" w:rsidRDefault="00000000" w:rsidRPr="00000000" w14:paraId="0000001F">
      <w:pPr>
        <w:spacing w:line="240" w:lineRule="auto"/>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Tel.: </w:t>
      </w:r>
      <w:r w:rsidDel="00000000" w:rsidR="00000000" w:rsidRPr="00000000">
        <w:rPr>
          <w:rFonts w:ascii="Calibri" w:cs="Calibri" w:eastAsia="Calibri" w:hAnsi="Calibri"/>
          <w:sz w:val="20"/>
          <w:szCs w:val="20"/>
          <w:rtl w:val="0"/>
        </w:rPr>
        <w:t xml:space="preserve">91 302 28 60</w:t>
      </w:r>
    </w:p>
    <w:p w:rsidR="00000000" w:rsidDel="00000000" w:rsidP="00000000" w:rsidRDefault="00000000" w:rsidRPr="00000000" w14:paraId="00000020">
      <w:pPr>
        <w:rPr/>
      </w:pPr>
      <w:r w:rsidDel="00000000" w:rsidR="00000000" w:rsidRPr="00000000">
        <w:rPr>
          <w:rtl w:val="0"/>
        </w:rPr>
      </w:r>
    </w:p>
    <w:sectPr>
      <w:headerReference r:id="rId10" w:type="default"/>
      <w:pgSz w:h="16838" w:w="11906" w:orient="portrait"/>
      <w:pgMar w:bottom="1700.7874015748032" w:top="1700.7874015748032" w:left="1598.740157480315" w:right="1598.74015748031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-847724</wp:posOffset>
          </wp:positionH>
          <wp:positionV relativeFrom="paragraph">
            <wp:posOffset>-314324</wp:posOffset>
          </wp:positionV>
          <wp:extent cx="1147555" cy="77628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47555" cy="7762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mailto:mirella.palafox@actitud.es" TargetMode="External"/><Relationship Id="rId5" Type="http://schemas.openxmlformats.org/officeDocument/2006/relationships/styles" Target="styles.xml"/><Relationship Id="rId6" Type="http://schemas.openxmlformats.org/officeDocument/2006/relationships/hyperlink" Target="https://clinicasaludenmente.com/" TargetMode="External"/><Relationship Id="rId7" Type="http://schemas.openxmlformats.org/officeDocument/2006/relationships/hyperlink" Target="https://www.linkedin.com/in/conchitasisimartin/?locale=es_ES" TargetMode="External"/><Relationship Id="rId8" Type="http://schemas.openxmlformats.org/officeDocument/2006/relationships/hyperlink" Target="mailto:mirella.palafox@actitu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