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A42F" w14:textId="38E04FB7" w:rsidR="00ED4BEE" w:rsidRDefault="00ED4BEE" w:rsidP="00385334">
      <w:r w:rsidRPr="00181FE9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8681F2D" wp14:editId="2D80DDD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70685" cy="424815"/>
            <wp:effectExtent l="0" t="0" r="5715" b="0"/>
            <wp:wrapTight wrapText="bothSides">
              <wp:wrapPolygon edited="0">
                <wp:start x="0" y="0"/>
                <wp:lineTo x="0" y="20341"/>
                <wp:lineTo x="21428" y="20341"/>
                <wp:lineTo x="214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ik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156D2" w14:textId="77777777" w:rsidR="00065F45" w:rsidRDefault="00065F45" w:rsidP="00385334"/>
    <w:p w14:paraId="105EFA5F" w14:textId="77777777" w:rsidR="0020204A" w:rsidRDefault="0020204A" w:rsidP="00D4603E">
      <w:pPr>
        <w:ind w:right="-1"/>
        <w:jc w:val="both"/>
        <w:rPr>
          <w:lang w:val="es-ES_tradnl"/>
        </w:rPr>
      </w:pPr>
    </w:p>
    <w:p w14:paraId="0CD0CF32" w14:textId="77777777" w:rsidR="00D86D99" w:rsidRDefault="00D86D99" w:rsidP="00D4603E">
      <w:pPr>
        <w:ind w:right="-1"/>
        <w:jc w:val="both"/>
        <w:rPr>
          <w:lang w:val="es-ES_tradnl"/>
        </w:rPr>
      </w:pPr>
    </w:p>
    <w:p w14:paraId="3B61B867" w14:textId="006DBBF8" w:rsidR="00D4603E" w:rsidRPr="00D4603E" w:rsidRDefault="00D4603E" w:rsidP="00D4603E">
      <w:pPr>
        <w:ind w:right="-1"/>
        <w:jc w:val="both"/>
        <w:rPr>
          <w:lang w:val="es-ES_tradnl"/>
        </w:rPr>
      </w:pPr>
      <w:r>
        <w:rPr>
          <w:lang w:val="es-ES_tradnl"/>
        </w:rPr>
        <w:t xml:space="preserve">Según </w:t>
      </w:r>
      <w:r w:rsidR="000B4B60">
        <w:rPr>
          <w:lang w:val="es-ES_tradnl"/>
        </w:rPr>
        <w:t xml:space="preserve">la gestora de fondos </w:t>
      </w:r>
      <w:r>
        <w:rPr>
          <w:lang w:val="es-ES_tradnl"/>
        </w:rPr>
        <w:t>SIA Funds</w:t>
      </w:r>
      <w:r w:rsidR="006053FD">
        <w:rPr>
          <w:lang w:val="es-ES_tradnl"/>
        </w:rPr>
        <w:t>,</w:t>
      </w:r>
    </w:p>
    <w:p w14:paraId="7E510A58" w14:textId="691E0D26" w:rsidR="00065F45" w:rsidRDefault="00F01534" w:rsidP="00385334">
      <w:pPr>
        <w:jc w:val="center"/>
        <w:rPr>
          <w:rFonts w:cstheme="minorHAnsi"/>
          <w:b/>
          <w:i/>
          <w:sz w:val="44"/>
          <w:szCs w:val="44"/>
          <w:lang w:val="es-ES_tradnl"/>
        </w:rPr>
      </w:pPr>
      <w:r w:rsidRPr="00791A8C">
        <w:rPr>
          <w:rFonts w:cstheme="minorHAnsi"/>
          <w:b/>
          <w:sz w:val="44"/>
          <w:szCs w:val="44"/>
          <w:lang w:val="es-ES_tradnl"/>
        </w:rPr>
        <w:t xml:space="preserve">Los próximos años serán </w:t>
      </w:r>
      <w:proofErr w:type="spellStart"/>
      <w:r w:rsidR="00391821" w:rsidRPr="00791A8C">
        <w:rPr>
          <w:rFonts w:cstheme="minorHAnsi"/>
          <w:b/>
          <w:i/>
          <w:sz w:val="44"/>
          <w:szCs w:val="44"/>
          <w:lang w:val="es-ES_tradnl"/>
        </w:rPr>
        <w:t>V</w:t>
      </w:r>
      <w:r w:rsidRPr="00791A8C">
        <w:rPr>
          <w:rFonts w:cstheme="minorHAnsi"/>
          <w:b/>
          <w:i/>
          <w:sz w:val="44"/>
          <w:szCs w:val="44"/>
          <w:lang w:val="es-ES_tradnl"/>
        </w:rPr>
        <w:t>alue</w:t>
      </w:r>
      <w:proofErr w:type="spellEnd"/>
    </w:p>
    <w:p w14:paraId="6F3FACDE" w14:textId="6A4D4143" w:rsidR="00BA5DCF" w:rsidRPr="00C41FB5" w:rsidRDefault="00391821" w:rsidP="00EC28C2">
      <w:pPr>
        <w:pStyle w:val="Prrafodelista"/>
        <w:numPr>
          <w:ilvl w:val="0"/>
          <w:numId w:val="10"/>
        </w:numPr>
        <w:jc w:val="both"/>
        <w:rPr>
          <w:rFonts w:cstheme="minorHAnsi"/>
          <w:b/>
          <w:lang w:val="es-ES_tradnl"/>
        </w:rPr>
      </w:pPr>
      <w:r>
        <w:rPr>
          <w:b/>
          <w:i/>
        </w:rPr>
        <w:t xml:space="preserve">Los fondos </w:t>
      </w:r>
      <w:proofErr w:type="spellStart"/>
      <w:r w:rsidRPr="00391821">
        <w:rPr>
          <w:b/>
        </w:rPr>
        <w:t>V</w:t>
      </w:r>
      <w:r w:rsidR="00BA5DCF" w:rsidRPr="00391821">
        <w:rPr>
          <w:b/>
        </w:rPr>
        <w:t>alue</w:t>
      </w:r>
      <w:proofErr w:type="spellEnd"/>
      <w:r w:rsidR="00BA5DCF">
        <w:rPr>
          <w:b/>
          <w:i/>
        </w:rPr>
        <w:t>, tras una década de bajo rendimiento, se acercan a un per</w:t>
      </w:r>
      <w:r w:rsidR="007F5777">
        <w:rPr>
          <w:b/>
          <w:i/>
        </w:rPr>
        <w:t>í</w:t>
      </w:r>
      <w:r w:rsidR="00BA5DCF">
        <w:rPr>
          <w:b/>
          <w:i/>
        </w:rPr>
        <w:t>odo de recuperación</w:t>
      </w:r>
    </w:p>
    <w:p w14:paraId="1967B016" w14:textId="4603EDCB" w:rsidR="000912BF" w:rsidRPr="00461D31" w:rsidRDefault="00C41FB5" w:rsidP="00EC28C2">
      <w:pPr>
        <w:pStyle w:val="Prrafodelista"/>
        <w:numPr>
          <w:ilvl w:val="0"/>
          <w:numId w:val="10"/>
        </w:numPr>
        <w:jc w:val="both"/>
        <w:rPr>
          <w:b/>
          <w:i/>
        </w:rPr>
      </w:pPr>
      <w:r w:rsidRPr="00461D31">
        <w:rPr>
          <w:b/>
          <w:i/>
        </w:rPr>
        <w:t xml:space="preserve">Este tipo de inversiones, </w:t>
      </w:r>
      <w:r w:rsidR="000912BF" w:rsidRPr="00461D31">
        <w:rPr>
          <w:b/>
          <w:i/>
        </w:rPr>
        <w:t>en las que se ad</w:t>
      </w:r>
      <w:r w:rsidR="002A684D" w:rsidRPr="00461D31">
        <w:rPr>
          <w:b/>
          <w:i/>
        </w:rPr>
        <w:t>quieren compañías con problemas</w:t>
      </w:r>
      <w:r w:rsidR="007F5777" w:rsidRPr="00461D31">
        <w:rPr>
          <w:b/>
          <w:i/>
        </w:rPr>
        <w:t xml:space="preserve"> (reales o no)</w:t>
      </w:r>
      <w:r w:rsidR="000912BF" w:rsidRPr="00461D31">
        <w:rPr>
          <w:b/>
          <w:i/>
        </w:rPr>
        <w:t xml:space="preserve"> y por lo tanto baratas, </w:t>
      </w:r>
      <w:r w:rsidR="007F5777" w:rsidRPr="00461D31">
        <w:rPr>
          <w:b/>
          <w:i/>
        </w:rPr>
        <w:t>suelen requerir</w:t>
      </w:r>
      <w:r w:rsidR="000912BF" w:rsidRPr="00461D31">
        <w:rPr>
          <w:b/>
          <w:i/>
        </w:rPr>
        <w:t xml:space="preserve"> </w:t>
      </w:r>
      <w:r w:rsidR="008629F5" w:rsidRPr="00461D31">
        <w:rPr>
          <w:b/>
          <w:i/>
        </w:rPr>
        <w:t>algún tiempo</w:t>
      </w:r>
      <w:r w:rsidR="000912BF" w:rsidRPr="00461D31">
        <w:rPr>
          <w:b/>
          <w:i/>
        </w:rPr>
        <w:t xml:space="preserve"> para recuper</w:t>
      </w:r>
      <w:r w:rsidR="008629F5" w:rsidRPr="00461D31">
        <w:rPr>
          <w:b/>
          <w:i/>
        </w:rPr>
        <w:t>ar</w:t>
      </w:r>
    </w:p>
    <w:p w14:paraId="0B1809FF" w14:textId="77777777" w:rsidR="00482D5A" w:rsidRDefault="00482D5A" w:rsidP="000912BF">
      <w:pPr>
        <w:pStyle w:val="Prrafodelista"/>
        <w:ind w:left="0"/>
        <w:jc w:val="both"/>
        <w:rPr>
          <w:rFonts w:ascii="Calibri" w:hAnsi="Calibri" w:cs="Calibri"/>
        </w:rPr>
      </w:pPr>
    </w:p>
    <w:p w14:paraId="62EF4AA9" w14:textId="3F2D6724" w:rsidR="00474F8E" w:rsidRDefault="00ED4BEE" w:rsidP="00E60274">
      <w:pPr>
        <w:ind w:right="-1"/>
        <w:jc w:val="both"/>
        <w:rPr>
          <w:rFonts w:cstheme="minorHAnsi"/>
          <w:b/>
          <w:lang w:val="es-ES_tradnl"/>
        </w:rPr>
      </w:pPr>
      <w:r w:rsidRPr="00385334">
        <w:rPr>
          <w:rFonts w:cstheme="minorHAnsi"/>
          <w:b/>
        </w:rPr>
        <w:t>Madrid</w:t>
      </w:r>
      <w:r w:rsidR="0020204A" w:rsidRPr="00385334">
        <w:rPr>
          <w:rFonts w:cstheme="minorHAnsi"/>
          <w:b/>
        </w:rPr>
        <w:t>,</w:t>
      </w:r>
      <w:r w:rsidR="0020204A">
        <w:rPr>
          <w:rFonts w:cstheme="minorHAnsi"/>
          <w:b/>
        </w:rPr>
        <w:t xml:space="preserve"> </w:t>
      </w:r>
      <w:r w:rsidR="00EC23D5">
        <w:rPr>
          <w:rFonts w:cstheme="minorHAnsi"/>
          <w:b/>
        </w:rPr>
        <w:t>6</w:t>
      </w:r>
      <w:bookmarkStart w:id="0" w:name="_GoBack"/>
      <w:bookmarkEnd w:id="0"/>
      <w:r w:rsidR="0020204A">
        <w:rPr>
          <w:rFonts w:cstheme="minorHAnsi"/>
          <w:b/>
        </w:rPr>
        <w:t xml:space="preserve"> </w:t>
      </w:r>
      <w:r w:rsidRPr="00385334">
        <w:rPr>
          <w:rFonts w:cstheme="minorHAnsi"/>
          <w:b/>
        </w:rPr>
        <w:t xml:space="preserve">de </w:t>
      </w:r>
      <w:r w:rsidR="00D57880">
        <w:rPr>
          <w:rFonts w:cstheme="minorHAnsi"/>
          <w:b/>
          <w:lang w:val="es-ES_tradnl"/>
        </w:rPr>
        <w:t>noviembre</w:t>
      </w:r>
      <w:r w:rsidR="00EE1038">
        <w:rPr>
          <w:rFonts w:cstheme="minorHAnsi"/>
          <w:b/>
          <w:lang w:val="es-ES_tradnl"/>
        </w:rPr>
        <w:t xml:space="preserve"> de 2020.- </w:t>
      </w:r>
      <w:r w:rsidR="00474F8E" w:rsidRPr="00474F8E">
        <w:t>En el</w:t>
      </w:r>
      <w:r w:rsidR="00474F8E">
        <w:t xml:space="preserve"> </w:t>
      </w:r>
      <w:r w:rsidR="00474F8E" w:rsidRPr="00474F8E">
        <w:t>contexto s</w:t>
      </w:r>
      <w:r w:rsidR="00482D5A">
        <w:t xml:space="preserve">ocial y económico en el que no </w:t>
      </w:r>
      <w:r w:rsidR="007C552D">
        <w:t>encontramos</w:t>
      </w:r>
      <w:r w:rsidR="005F7E74">
        <w:t>, hablar de recuperación</w:t>
      </w:r>
      <w:r w:rsidR="00474F8E" w:rsidRPr="00474F8E">
        <w:t xml:space="preserve"> de </w:t>
      </w:r>
      <w:r w:rsidR="00B50D5C">
        <w:t>inversiones</w:t>
      </w:r>
      <w:r w:rsidR="00474F8E" w:rsidRPr="00474F8E">
        <w:t xml:space="preserve"> o cualquier </w:t>
      </w:r>
      <w:r w:rsidR="00B50D5C">
        <w:t xml:space="preserve">otro </w:t>
      </w:r>
      <w:r w:rsidR="00474F8E" w:rsidRPr="00474F8E">
        <w:t xml:space="preserve">sinónimo que nos haga </w:t>
      </w:r>
      <w:r w:rsidR="00B50D5C">
        <w:t>pensar en positivo</w:t>
      </w:r>
      <w:r w:rsidR="00474F8E" w:rsidRPr="00474F8E">
        <w:t xml:space="preserve"> es</w:t>
      </w:r>
      <w:r w:rsidR="00B50D5C">
        <w:t xml:space="preserve"> </w:t>
      </w:r>
      <w:r w:rsidR="00474F8E" w:rsidRPr="00474F8E">
        <w:t>bienvenid</w:t>
      </w:r>
      <w:r w:rsidR="00B50D5C">
        <w:t>o</w:t>
      </w:r>
      <w:r w:rsidR="00474F8E" w:rsidRPr="00474F8E">
        <w:t>.</w:t>
      </w:r>
      <w:r w:rsidR="00B50D5C">
        <w:t xml:space="preserve"> </w:t>
      </w:r>
    </w:p>
    <w:p w14:paraId="60898984" w14:textId="1E631A34" w:rsidR="00052442" w:rsidRDefault="00E60274" w:rsidP="00261647">
      <w:pPr>
        <w:ind w:right="-1"/>
        <w:jc w:val="both"/>
      </w:pPr>
      <w:r w:rsidRPr="00461D31">
        <w:t xml:space="preserve">Durante los últimos diez años, el </w:t>
      </w:r>
      <w:r w:rsidRPr="00461D31">
        <w:rPr>
          <w:i/>
        </w:rPr>
        <w:t>Value</w:t>
      </w:r>
      <w:r w:rsidRPr="00461D31">
        <w:t xml:space="preserve"> ha experimentado un</w:t>
      </w:r>
      <w:r w:rsidR="007F5777" w:rsidRPr="00461D31">
        <w:t xml:space="preserve">a </w:t>
      </w:r>
      <w:r w:rsidR="007F5777" w:rsidRPr="00461D31">
        <w:rPr>
          <w:i/>
          <w:iCs/>
        </w:rPr>
        <w:t>performance</w:t>
      </w:r>
      <w:r w:rsidR="007F5777" w:rsidRPr="00461D31">
        <w:t xml:space="preserve"> </w:t>
      </w:r>
      <w:r w:rsidR="00052442" w:rsidRPr="00461D31">
        <w:t>bastante inferior a</w:t>
      </w:r>
      <w:r w:rsidR="00461D31">
        <w:t xml:space="preserve"> </w:t>
      </w:r>
      <w:r w:rsidR="00052442">
        <w:t>l</w:t>
      </w:r>
      <w:r w:rsidR="00461D31">
        <w:t>o</w:t>
      </w:r>
      <w:r w:rsidR="00052442">
        <w:t xml:space="preserve"> esperado</w:t>
      </w:r>
      <w:r w:rsidR="00EC28C2">
        <w:t xml:space="preserve"> debido a varios episodios, y temores,</w:t>
      </w:r>
      <w:r w:rsidR="007F5777">
        <w:t xml:space="preserve"> macroeconómicos relevantes que han puesto constantemente en jaque la confianza de los inversores</w:t>
      </w:r>
      <w:r w:rsidR="00461D31">
        <w:t>:</w:t>
      </w:r>
      <w:r w:rsidR="007F5777">
        <w:t xml:space="preserve"> </w:t>
      </w:r>
      <w:r w:rsidR="00C23AF4">
        <w:t xml:space="preserve">desde el </w:t>
      </w:r>
      <w:r w:rsidR="00261647" w:rsidRPr="00261647">
        <w:t>d</w:t>
      </w:r>
      <w:r w:rsidR="007F5777" w:rsidRPr="00261647">
        <w:t>eterioro de la economía China en 2015 con el consiguiente miedo a una crisis global</w:t>
      </w:r>
      <w:r w:rsidR="00261647" w:rsidRPr="00261647">
        <w:t>; la g</w:t>
      </w:r>
      <w:r w:rsidR="007F5777" w:rsidRPr="00261647">
        <w:t>uerra comercial EE.</w:t>
      </w:r>
      <w:r w:rsidR="00461D31" w:rsidRPr="00261647">
        <w:t xml:space="preserve"> </w:t>
      </w:r>
      <w:r w:rsidR="007F5777" w:rsidRPr="00261647">
        <w:t xml:space="preserve">UU.-China y el constante flujo de noticias negativas sobre el </w:t>
      </w:r>
      <w:proofErr w:type="spellStart"/>
      <w:r w:rsidR="007F5777" w:rsidRPr="00261647">
        <w:t>Brexit</w:t>
      </w:r>
      <w:proofErr w:type="spellEnd"/>
      <w:r w:rsidR="007F5777" w:rsidRPr="00261647">
        <w:t xml:space="preserve"> desde 2016</w:t>
      </w:r>
      <w:r w:rsidR="00261647" w:rsidRPr="00261647">
        <w:t>; hasta la i</w:t>
      </w:r>
      <w:r w:rsidR="007F5777" w:rsidRPr="00261647">
        <w:t>nversión de la curva de tipos de interés en Estados Unidos en 2018 anticipando una crisis global que nunca sucedió y</w:t>
      </w:r>
      <w:r w:rsidR="00261647" w:rsidRPr="00261647">
        <w:t xml:space="preserve"> la </w:t>
      </w:r>
      <w:r w:rsidR="007F5777" w:rsidRPr="00261647">
        <w:t>crisis Covid19 en 2020</w:t>
      </w:r>
      <w:r w:rsidR="00935DBD" w:rsidRPr="00261647">
        <w:t>, esta vez una crisis global real</w:t>
      </w:r>
      <w:r w:rsidR="00A72C81" w:rsidRPr="00261647">
        <w:t>.</w:t>
      </w:r>
    </w:p>
    <w:p w14:paraId="699A962C" w14:textId="77777777" w:rsidR="00CD645C" w:rsidRDefault="007F5777" w:rsidP="00E60274">
      <w:pPr>
        <w:ind w:right="-1"/>
        <w:jc w:val="both"/>
      </w:pPr>
      <w:r>
        <w:t>Estos episodios han tenido un efecto negativo en los inversores y</w:t>
      </w:r>
      <w:r w:rsidR="00A14569">
        <w:t>, a su vez, han</w:t>
      </w:r>
      <w:r>
        <w:t xml:space="preserve"> provocado</w:t>
      </w:r>
      <w:r w:rsidR="00CD645C">
        <w:t xml:space="preserve"> una</w:t>
      </w:r>
      <w:r>
        <w:t xml:space="preserve"> fuerte volatilidad en Bolsa.</w:t>
      </w:r>
    </w:p>
    <w:p w14:paraId="289AE760" w14:textId="6A801775" w:rsidR="00E60274" w:rsidRDefault="00E60274" w:rsidP="00E60274">
      <w:pPr>
        <w:ind w:right="-1"/>
        <w:jc w:val="both"/>
      </w:pPr>
      <w:r>
        <w:t>Una década</w:t>
      </w:r>
      <w:r w:rsidR="007F5777">
        <w:t xml:space="preserve"> de </w:t>
      </w:r>
      <w:proofErr w:type="spellStart"/>
      <w:r w:rsidR="007F5777" w:rsidRPr="007F5777">
        <w:rPr>
          <w:i/>
          <w:iCs/>
        </w:rPr>
        <w:t>underperformance</w:t>
      </w:r>
      <w:proofErr w:type="spellEnd"/>
      <w:r w:rsidR="007F5777">
        <w:t xml:space="preserve"> de la estrategia </w:t>
      </w:r>
      <w:proofErr w:type="spellStart"/>
      <w:r w:rsidR="00CD645C" w:rsidRPr="00A14569">
        <w:rPr>
          <w:i/>
        </w:rPr>
        <w:t>Value</w:t>
      </w:r>
      <w:proofErr w:type="spellEnd"/>
      <w:r w:rsidR="00CD645C">
        <w:t xml:space="preserve"> </w:t>
      </w:r>
      <w:r>
        <w:t>es demasiado tiempo</w:t>
      </w:r>
      <w:r w:rsidR="007F5777">
        <w:t xml:space="preserve"> para casi cualquier inversor </w:t>
      </w:r>
      <w:r w:rsidR="00297581">
        <w:t>y estamos viendo que</w:t>
      </w:r>
      <w:r>
        <w:t xml:space="preserve"> algunos</w:t>
      </w:r>
      <w:r w:rsidR="00D86D99">
        <w:t xml:space="preserve"> inversores,</w:t>
      </w:r>
      <w:r>
        <w:t xml:space="preserve"> gestores, analistas, medios de comunicación, etc.</w:t>
      </w:r>
      <w:r w:rsidR="007C552D">
        <w:t>,</w:t>
      </w:r>
      <w:r>
        <w:t xml:space="preserve"> han </w:t>
      </w:r>
      <w:r w:rsidR="00297581">
        <w:t xml:space="preserve">perdido la fe en el </w:t>
      </w:r>
      <w:r w:rsidR="00297581" w:rsidRPr="00297581">
        <w:rPr>
          <w:i/>
          <w:iCs/>
        </w:rPr>
        <w:t>value</w:t>
      </w:r>
      <w:r w:rsidR="00297581">
        <w:t xml:space="preserve"> al tiempo que los</w:t>
      </w:r>
      <w:r w:rsidR="00D86D99">
        <w:t xml:space="preserve"> </w:t>
      </w:r>
      <w:r w:rsidR="005F7E74">
        <w:t xml:space="preserve">inversores han </w:t>
      </w:r>
      <w:r w:rsidR="00A14569">
        <w:t>ido</w:t>
      </w:r>
      <w:r w:rsidR="00D86D99">
        <w:t xml:space="preserve"> </w:t>
      </w:r>
      <w:r w:rsidR="00297581">
        <w:t>saliendo</w:t>
      </w:r>
      <w:r w:rsidR="00D86D99">
        <w:t xml:space="preserve"> </w:t>
      </w:r>
      <w:r w:rsidR="00297581">
        <w:t>de</w:t>
      </w:r>
      <w:r w:rsidR="00D86D99">
        <w:t xml:space="preserve"> este</w:t>
      </w:r>
      <w:r w:rsidR="005F7E74">
        <w:t xml:space="preserve"> tipo de fondos</w:t>
      </w:r>
      <w:r>
        <w:t xml:space="preserve">. </w:t>
      </w:r>
    </w:p>
    <w:p w14:paraId="040D7927" w14:textId="4EA2F8FB" w:rsidR="00D86D99" w:rsidRPr="00297581" w:rsidRDefault="00297581" w:rsidP="00D86D99">
      <w:pPr>
        <w:ind w:right="-1"/>
        <w:jc w:val="both"/>
        <w:rPr>
          <w:b/>
        </w:rPr>
      </w:pPr>
      <w:proofErr w:type="spellStart"/>
      <w:r w:rsidRPr="00935DBD">
        <w:rPr>
          <w:b/>
          <w:i/>
          <w:iCs/>
        </w:rPr>
        <w:t>Value</w:t>
      </w:r>
      <w:proofErr w:type="spellEnd"/>
      <w:r w:rsidRPr="00297581">
        <w:rPr>
          <w:b/>
        </w:rPr>
        <w:t xml:space="preserve"> y </w:t>
      </w:r>
      <w:proofErr w:type="spellStart"/>
      <w:r w:rsidRPr="00935DBD">
        <w:rPr>
          <w:b/>
          <w:i/>
          <w:iCs/>
        </w:rPr>
        <w:t>Growth</w:t>
      </w:r>
      <w:proofErr w:type="spellEnd"/>
      <w:r w:rsidRPr="00297581">
        <w:rPr>
          <w:b/>
        </w:rPr>
        <w:t xml:space="preserve"> convergen a </w:t>
      </w:r>
      <w:r>
        <w:rPr>
          <w:b/>
        </w:rPr>
        <w:t xml:space="preserve">muy </w:t>
      </w:r>
      <w:r w:rsidRPr="00297581">
        <w:rPr>
          <w:b/>
        </w:rPr>
        <w:t>largo plazo</w:t>
      </w:r>
    </w:p>
    <w:p w14:paraId="6299D36F" w14:textId="246E39A5" w:rsidR="005F7E74" w:rsidRDefault="00C23AF4" w:rsidP="00D33A79">
      <w:pPr>
        <w:ind w:right="-1"/>
        <w:jc w:val="both"/>
      </w:pPr>
      <w:r>
        <w:t>Al analizar</w:t>
      </w:r>
      <w:r w:rsidR="00297581">
        <w:t xml:space="preserve"> la evolución de una cesta de empresas consideradas </w:t>
      </w:r>
      <w:proofErr w:type="spellStart"/>
      <w:r w:rsidR="00297581" w:rsidRPr="00A14569">
        <w:rPr>
          <w:i/>
        </w:rPr>
        <w:t>Value</w:t>
      </w:r>
      <w:proofErr w:type="spellEnd"/>
      <w:r w:rsidR="00392430">
        <w:t>,</w:t>
      </w:r>
      <w:r w:rsidR="00297581">
        <w:t xml:space="preserve"> con otra cesta </w:t>
      </w:r>
      <w:proofErr w:type="spellStart"/>
      <w:r w:rsidR="00297581" w:rsidRPr="00A14569">
        <w:rPr>
          <w:i/>
        </w:rPr>
        <w:t>Growth</w:t>
      </w:r>
      <w:proofErr w:type="spellEnd"/>
      <w:r w:rsidR="00297581">
        <w:t xml:space="preserve">, </w:t>
      </w:r>
      <w:r>
        <w:t>se ve</w:t>
      </w:r>
      <w:r w:rsidR="00297581">
        <w:t xml:space="preserve"> que a muy largo plazo convergen hacia una </w:t>
      </w:r>
      <w:r w:rsidR="00297581" w:rsidRPr="00392430">
        <w:rPr>
          <w:i/>
        </w:rPr>
        <w:t>performance</w:t>
      </w:r>
      <w:r w:rsidR="00297581">
        <w:t xml:space="preserve"> muy similar entre ellas y con los Índices</w:t>
      </w:r>
      <w:r w:rsidR="00935DBD">
        <w:t xml:space="preserve"> </w:t>
      </w:r>
      <w:r w:rsidR="00392430">
        <w:t>G</w:t>
      </w:r>
      <w:r w:rsidR="00935DBD">
        <w:t>lobales</w:t>
      </w:r>
      <w:r w:rsidR="00297581">
        <w:t xml:space="preserve">. Desde 1975, el Índice MSCI World Value ha hecho un 9% anual, similar al MSCI Growth y al MSCI World. Esto </w:t>
      </w:r>
      <w:r>
        <w:t>se debe a que</w:t>
      </w:r>
      <w:r w:rsidR="00392430">
        <w:t>,</w:t>
      </w:r>
      <w:r w:rsidR="00297581">
        <w:t xml:space="preserve"> a largo plazo</w:t>
      </w:r>
      <w:r w:rsidR="00392430">
        <w:t>,</w:t>
      </w:r>
      <w:r w:rsidR="00297581">
        <w:t xml:space="preserve"> </w:t>
      </w:r>
      <w:r w:rsidR="00935DBD">
        <w:t>las grandes magnitudes tienen</w:t>
      </w:r>
      <w:r w:rsidR="00297581">
        <w:t xml:space="preserve"> que converger hacia un mismo crecimiento, el de la economía global en términos nominales.</w:t>
      </w:r>
    </w:p>
    <w:p w14:paraId="77AA4BA3" w14:textId="7C3F455B" w:rsidR="00935DBD" w:rsidRDefault="00ED267A" w:rsidP="005F7E74">
      <w:pPr>
        <w:ind w:right="-1"/>
        <w:jc w:val="both"/>
      </w:pPr>
      <w:r w:rsidRPr="00C45AE7">
        <w:t>“</w:t>
      </w:r>
      <w:r w:rsidR="00791A8C" w:rsidRPr="00C45AE7">
        <w:t xml:space="preserve">Por </w:t>
      </w:r>
      <w:r w:rsidR="00D86D99" w:rsidRPr="00C45AE7">
        <w:t xml:space="preserve">este </w:t>
      </w:r>
      <w:r w:rsidR="005F7E74" w:rsidRPr="00C45AE7">
        <w:t>motivo,</w:t>
      </w:r>
      <w:r w:rsidR="00D86D99" w:rsidRPr="00C45AE7">
        <w:t xml:space="preserve"> </w:t>
      </w:r>
      <w:r w:rsidR="00D33A79" w:rsidRPr="00C45AE7">
        <w:t>en SIA Funds</w:t>
      </w:r>
      <w:r w:rsidR="00FA34C0" w:rsidRPr="00C45AE7">
        <w:t xml:space="preserve">, </w:t>
      </w:r>
      <w:r w:rsidR="00FA34C0" w:rsidRPr="00C45AE7">
        <w:rPr>
          <w:rFonts w:cstheme="minorHAnsi"/>
          <w:lang w:val="es-ES_tradnl"/>
        </w:rPr>
        <w:t xml:space="preserve">compañía gestora de fondos de filosofía </w:t>
      </w:r>
      <w:r w:rsidR="00FA34C0" w:rsidRPr="00C45AE7">
        <w:rPr>
          <w:rFonts w:cstheme="minorHAnsi"/>
          <w:i/>
          <w:iCs/>
          <w:lang w:val="es-ES_tradnl"/>
        </w:rPr>
        <w:t>value</w:t>
      </w:r>
      <w:r w:rsidR="00FA34C0" w:rsidRPr="00C45AE7">
        <w:rPr>
          <w:rFonts w:cstheme="minorHAnsi"/>
          <w:lang w:val="es-ES_tradnl"/>
        </w:rPr>
        <w:t>,</w:t>
      </w:r>
      <w:r w:rsidR="00D33A79" w:rsidRPr="00C45AE7">
        <w:t xml:space="preserve"> estamos convencidos de que</w:t>
      </w:r>
      <w:r w:rsidR="00D86D99" w:rsidRPr="00C45AE7">
        <w:t xml:space="preserve">, </w:t>
      </w:r>
      <w:r w:rsidR="00D33A79" w:rsidRPr="00C45AE7">
        <w:t xml:space="preserve">los próximos años serán años </w:t>
      </w:r>
      <w:r w:rsidR="00D33A79" w:rsidRPr="00C45AE7">
        <w:rPr>
          <w:i/>
        </w:rPr>
        <w:t>Value</w:t>
      </w:r>
      <w:r w:rsidR="005F7E74" w:rsidRPr="00C45AE7">
        <w:t xml:space="preserve">, y todas aquellas </w:t>
      </w:r>
      <w:r w:rsidR="008629F5" w:rsidRPr="00C45AE7">
        <w:t>i</w:t>
      </w:r>
      <w:r w:rsidR="005F7E74" w:rsidRPr="00C45AE7">
        <w:t xml:space="preserve">nversiones realizadas hace </w:t>
      </w:r>
      <w:r w:rsidR="008629F5" w:rsidRPr="00C45AE7">
        <w:t>a</w:t>
      </w:r>
      <w:r w:rsidR="005F7E74" w:rsidRPr="00C45AE7">
        <w:t>ños empezarán a dar sus frutos</w:t>
      </w:r>
      <w:r w:rsidRPr="00C45AE7">
        <w:t xml:space="preserve">”, afirma Marcos Hernández, jefe de inversiones de SIA </w:t>
      </w:r>
      <w:proofErr w:type="spellStart"/>
      <w:r w:rsidRPr="00C45AE7">
        <w:t>Funds</w:t>
      </w:r>
      <w:proofErr w:type="spellEnd"/>
      <w:r w:rsidR="005F7E74" w:rsidRPr="00C45AE7">
        <w:t>.</w:t>
      </w:r>
      <w:r w:rsidR="008629F5">
        <w:t xml:space="preserve"> </w:t>
      </w:r>
    </w:p>
    <w:p w14:paraId="15FCEAB5" w14:textId="2D30A112" w:rsidR="00E60274" w:rsidRDefault="00CD2444" w:rsidP="005F7E74">
      <w:pPr>
        <w:ind w:right="-1"/>
        <w:jc w:val="both"/>
      </w:pPr>
      <w:r w:rsidRPr="00CD2444">
        <w:t>Todo</w:t>
      </w:r>
      <w:r w:rsidR="00935DBD">
        <w:t xml:space="preserve"> cuadra</w:t>
      </w:r>
      <w:r w:rsidR="008629F5">
        <w:t xml:space="preserve"> porque las valoraciones de </w:t>
      </w:r>
      <w:r w:rsidR="00392430">
        <w:t xml:space="preserve">algunos sectores en territorio </w:t>
      </w:r>
      <w:proofErr w:type="spellStart"/>
      <w:r w:rsidR="00392430" w:rsidRPr="00CD2444">
        <w:t>V</w:t>
      </w:r>
      <w:r w:rsidR="008629F5" w:rsidRPr="00CD2444">
        <w:t>alue</w:t>
      </w:r>
      <w:proofErr w:type="spellEnd"/>
      <w:r w:rsidR="008629F5">
        <w:t xml:space="preserve"> están en mínimo histórico (coches</w:t>
      </w:r>
      <w:r w:rsidR="00392430">
        <w:t xml:space="preserve"> o</w:t>
      </w:r>
      <w:r w:rsidR="008629F5">
        <w:t xml:space="preserve"> petróleo</w:t>
      </w:r>
      <w:r w:rsidR="00392430">
        <w:t>,</w:t>
      </w:r>
      <w:r w:rsidR="008629F5">
        <w:t xml:space="preserve"> por ejemplo) y las valoraciones </w:t>
      </w:r>
      <w:r w:rsidR="008629F5" w:rsidRPr="00CD2444">
        <w:t>Growth</w:t>
      </w:r>
      <w:r w:rsidR="008629F5">
        <w:t xml:space="preserve"> </w:t>
      </w:r>
      <w:r w:rsidR="00935DBD">
        <w:t xml:space="preserve">(tecnología o </w:t>
      </w:r>
      <w:r w:rsidR="00935DBD" w:rsidRPr="00CD2444">
        <w:t>health</w:t>
      </w:r>
      <w:r w:rsidR="00935DBD">
        <w:t xml:space="preserve">) </w:t>
      </w:r>
      <w:r w:rsidR="008629F5">
        <w:t xml:space="preserve">están </w:t>
      </w:r>
      <w:r w:rsidR="008629F5">
        <w:lastRenderedPageBreak/>
        <w:t>acercándose a máximos históricos: es momento de una reversión a la media apoyada en un nuevo ciclo económico post Covid-19.</w:t>
      </w:r>
    </w:p>
    <w:p w14:paraId="75CD37BD" w14:textId="77777777" w:rsidR="00E60274" w:rsidRDefault="00E60274" w:rsidP="00E60274"/>
    <w:p w14:paraId="5CE043AC" w14:textId="77777777" w:rsidR="00E60274" w:rsidRDefault="00E60274" w:rsidP="007937B7">
      <w:pPr>
        <w:jc w:val="center"/>
      </w:pPr>
      <w:r>
        <w:rPr>
          <w:noProof/>
          <w:lang w:eastAsia="es-ES"/>
        </w:rPr>
        <w:drawing>
          <wp:inline distT="0" distB="0" distL="0" distR="0" wp14:anchorId="2290FA9F" wp14:editId="19C7BF60">
            <wp:extent cx="4058105" cy="222885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89" cy="224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0E60" w14:textId="0F9CF522" w:rsidR="00461CCC" w:rsidRPr="005F3F4B" w:rsidRDefault="00656912" w:rsidP="00461CCC">
      <w:pPr>
        <w:ind w:right="-1"/>
        <w:jc w:val="both"/>
        <w:rPr>
          <w:b/>
          <w:bCs/>
        </w:rPr>
      </w:pPr>
      <w:r>
        <w:rPr>
          <w:b/>
          <w:bCs/>
        </w:rPr>
        <w:t xml:space="preserve">Ahora </w:t>
      </w:r>
      <w:r w:rsidR="003E4D4D">
        <w:rPr>
          <w:b/>
          <w:bCs/>
        </w:rPr>
        <w:t>le toca a la estrategia</w:t>
      </w:r>
      <w:r w:rsidR="008629F5">
        <w:rPr>
          <w:b/>
          <w:bCs/>
        </w:rPr>
        <w:t xml:space="preserve"> </w:t>
      </w:r>
      <w:proofErr w:type="spellStart"/>
      <w:r w:rsidR="008629F5" w:rsidRPr="003E4D4D">
        <w:rPr>
          <w:b/>
          <w:bCs/>
          <w:i/>
        </w:rPr>
        <w:t>Value</w:t>
      </w:r>
      <w:proofErr w:type="spellEnd"/>
    </w:p>
    <w:p w14:paraId="0849BF2A" w14:textId="7D00F57D" w:rsidR="00B50D5C" w:rsidRDefault="00C45AE7" w:rsidP="00B50D5C">
      <w:pPr>
        <w:ind w:right="-1"/>
        <w:jc w:val="both"/>
      </w:pPr>
      <w:r>
        <w:t xml:space="preserve">Para </w:t>
      </w:r>
      <w:r w:rsidR="0072608B">
        <w:t xml:space="preserve">Marcos </w:t>
      </w:r>
      <w:r>
        <w:t>Hernández, “t</w:t>
      </w:r>
      <w:r w:rsidR="00C41598">
        <w:t xml:space="preserve">ras </w:t>
      </w:r>
      <w:r w:rsidR="00B50D5C">
        <w:t xml:space="preserve">la </w:t>
      </w:r>
      <w:r w:rsidR="00C41598">
        <w:t xml:space="preserve">actual </w:t>
      </w:r>
      <w:r w:rsidR="00B50D5C">
        <w:t xml:space="preserve">crisis, la estrategia </w:t>
      </w:r>
      <w:r w:rsidR="00B50D5C" w:rsidRPr="00461CCC">
        <w:rPr>
          <w:i/>
        </w:rPr>
        <w:t>Value</w:t>
      </w:r>
      <w:r w:rsidR="00B50D5C">
        <w:t xml:space="preserve"> </w:t>
      </w:r>
      <w:r w:rsidR="008629F5">
        <w:t>debería recuperar la mayor parte de lo perdido</w:t>
      </w:r>
      <w:r w:rsidR="00B50D5C">
        <w:t xml:space="preserve">, tan pronto como la economía se estabilice. Por el contrario, las </w:t>
      </w:r>
      <w:r w:rsidR="00935DBD">
        <w:t>empresas de</w:t>
      </w:r>
      <w:r w:rsidR="00392430">
        <w:t xml:space="preserve"> cesta</w:t>
      </w:r>
      <w:r w:rsidR="00935DBD">
        <w:t xml:space="preserve"> </w:t>
      </w:r>
      <w:proofErr w:type="spellStart"/>
      <w:r w:rsidR="00935DBD">
        <w:t>Growth</w:t>
      </w:r>
      <w:proofErr w:type="spellEnd"/>
      <w:r w:rsidR="00935DBD">
        <w:t xml:space="preserve">, lideradas por las </w:t>
      </w:r>
      <w:r w:rsidR="00B50D5C">
        <w:t>FAAMG</w:t>
      </w:r>
      <w:r w:rsidR="00601AB3">
        <w:t xml:space="preserve"> (Facebook, Amazon, Apple, Microsoft y Google)</w:t>
      </w:r>
      <w:r w:rsidR="00B50D5C">
        <w:t xml:space="preserve">, </w:t>
      </w:r>
      <w:r w:rsidR="00935DBD">
        <w:t xml:space="preserve">y que son en término medio </w:t>
      </w:r>
      <w:r w:rsidR="00B50D5C">
        <w:t>excelentes empresas</w:t>
      </w:r>
      <w:r w:rsidR="00392430">
        <w:t>,</w:t>
      </w:r>
      <w:r w:rsidR="00B50D5C">
        <w:t xml:space="preserve"> van a tener dificultades para mantener su </w:t>
      </w:r>
      <w:r w:rsidR="00A703DC">
        <w:t>“</w:t>
      </w:r>
      <w:r w:rsidR="00B50D5C">
        <w:t>súper ciclo</w:t>
      </w:r>
      <w:r w:rsidR="00A703DC">
        <w:t>”</w:t>
      </w:r>
      <w:r w:rsidR="00B50D5C">
        <w:t xml:space="preserve">, porque empiezan </w:t>
      </w:r>
      <w:r w:rsidR="008629F5">
        <w:t>desde</w:t>
      </w:r>
      <w:r w:rsidR="00B50D5C">
        <w:t xml:space="preserve"> valoraciones altísimas, cuotas de mercado y crecimientos que no pueden acelerar mucho má</w:t>
      </w:r>
      <w:r w:rsidR="00935DBD">
        <w:t>s</w:t>
      </w:r>
      <w:r w:rsidR="008629F5">
        <w:t xml:space="preserve">; y </w:t>
      </w:r>
      <w:r w:rsidR="00B50D5C">
        <w:t xml:space="preserve">competencia y regulación </w:t>
      </w:r>
      <w:r w:rsidR="00935DBD">
        <w:t>a la vuelta de la esquina</w:t>
      </w:r>
      <w:r>
        <w:t>”</w:t>
      </w:r>
      <w:r w:rsidR="00B50D5C">
        <w:t>.</w:t>
      </w:r>
      <w:r w:rsidR="003F68CA">
        <w:t xml:space="preserve"> </w:t>
      </w:r>
    </w:p>
    <w:p w14:paraId="6313E480" w14:textId="28D6AF34" w:rsidR="00F64AC4" w:rsidRDefault="00C45AE7" w:rsidP="00B50D5C">
      <w:pPr>
        <w:ind w:right="-1"/>
        <w:jc w:val="both"/>
      </w:pPr>
      <w:r>
        <w:t>“</w:t>
      </w:r>
      <w:r w:rsidR="00B50D5C">
        <w:t xml:space="preserve">En el contexto de una recesión económica combinada con cierta incertidumbre, es normal para las </w:t>
      </w:r>
      <w:r w:rsidR="008629F5">
        <w:t>empresas</w:t>
      </w:r>
      <w:r w:rsidR="00B50D5C">
        <w:t xml:space="preserve"> cíclicas, las pequeñas empresas y el </w:t>
      </w:r>
      <w:r w:rsidR="00B50D5C" w:rsidRPr="008E60FC">
        <w:rPr>
          <w:i/>
        </w:rPr>
        <w:t>Value</w:t>
      </w:r>
      <w:r w:rsidR="00B50D5C">
        <w:t xml:space="preserve"> </w:t>
      </w:r>
      <w:r w:rsidR="008629F5">
        <w:t xml:space="preserve">tener una mala </w:t>
      </w:r>
      <w:r w:rsidR="008629F5" w:rsidRPr="00392430">
        <w:rPr>
          <w:i/>
        </w:rPr>
        <w:t>performance</w:t>
      </w:r>
      <w:r w:rsidR="008629F5">
        <w:t xml:space="preserve"> a corto plazo</w:t>
      </w:r>
      <w:r w:rsidR="00B50D5C">
        <w:t xml:space="preserve">. </w:t>
      </w:r>
      <w:r w:rsidR="00392430">
        <w:t xml:space="preserve">No obstante, </w:t>
      </w:r>
      <w:r w:rsidR="00065A4B">
        <w:t>esta situación</w:t>
      </w:r>
      <w:r w:rsidR="00392430">
        <w:t xml:space="preserve"> </w:t>
      </w:r>
      <w:r w:rsidR="00F64AC4">
        <w:t xml:space="preserve">tenderá a </w:t>
      </w:r>
      <w:r w:rsidR="00065A4B">
        <w:t xml:space="preserve">revertirse, </w:t>
      </w:r>
      <w:r w:rsidR="000E70C3">
        <w:t>con efecto inmediato</w:t>
      </w:r>
      <w:r>
        <w:t>”, añade Hernández</w:t>
      </w:r>
      <w:r w:rsidR="00065A4B">
        <w:t>.</w:t>
      </w:r>
    </w:p>
    <w:p w14:paraId="1C057ADB" w14:textId="4F0C1BDB" w:rsidR="003F68CA" w:rsidRPr="003F68CA" w:rsidRDefault="00A12441" w:rsidP="00A12441">
      <w:pPr>
        <w:ind w:right="-1"/>
        <w:jc w:val="both"/>
      </w:pPr>
      <w:r>
        <w:t>Según Marcos Herná</w:t>
      </w:r>
      <w:r w:rsidR="0072608B">
        <w:t>n</w:t>
      </w:r>
      <w:r>
        <w:t>dez, “m</w:t>
      </w:r>
      <w:r w:rsidR="00B50D5C">
        <w:t xml:space="preserve">edir el rendimiento de un fondo </w:t>
      </w:r>
      <w:r w:rsidR="00791A8C" w:rsidRPr="00731099">
        <w:rPr>
          <w:i/>
        </w:rPr>
        <w:t>Value</w:t>
      </w:r>
      <w:r w:rsidR="00B50D5C">
        <w:t xml:space="preserve"> </w:t>
      </w:r>
      <w:r w:rsidR="00935DBD">
        <w:t>a</w:t>
      </w:r>
      <w:r w:rsidR="00B50D5C">
        <w:t xml:space="preserve"> menos d</w:t>
      </w:r>
      <w:r w:rsidR="00922E95">
        <w:t xml:space="preserve">e 5 años no tiene mucho sentido. En </w:t>
      </w:r>
      <w:r w:rsidR="00B50D5C">
        <w:t xml:space="preserve">SIA </w:t>
      </w:r>
      <w:proofErr w:type="spellStart"/>
      <w:r w:rsidR="00B50D5C">
        <w:t>Funds</w:t>
      </w:r>
      <w:proofErr w:type="spellEnd"/>
      <w:r w:rsidR="00922E95">
        <w:t>,</w:t>
      </w:r>
      <w:r w:rsidR="00B50D5C">
        <w:t xml:space="preserve"> </w:t>
      </w:r>
      <w:r w:rsidR="009C5C2D">
        <w:t>s</w:t>
      </w:r>
      <w:r w:rsidR="009C5C2D" w:rsidRPr="00ED267A">
        <w:t>om</w:t>
      </w:r>
      <w:r w:rsidR="009C5C2D">
        <w:t>o</w:t>
      </w:r>
      <w:r w:rsidR="00ED267A">
        <w:t>s</w:t>
      </w:r>
      <w:r w:rsidR="00B50D5C">
        <w:t xml:space="preserve"> </w:t>
      </w:r>
      <w:r w:rsidR="008629F5">
        <w:t>inversores</w:t>
      </w:r>
      <w:r w:rsidR="00B50D5C">
        <w:t xml:space="preserve"> a largo plazo y tendemos a comprar compañías problemáticas (y por lo tanto baratas) </w:t>
      </w:r>
      <w:r w:rsidR="009C5C2D">
        <w:t>de ahí que</w:t>
      </w:r>
      <w:r w:rsidR="00065A4B">
        <w:t>, dada nuestra experiencia en Bolsa,</w:t>
      </w:r>
      <w:r w:rsidR="009C5C2D">
        <w:t xml:space="preserve"> podamos afirmar </w:t>
      </w:r>
      <w:r w:rsidR="00922E95">
        <w:t xml:space="preserve">que </w:t>
      </w:r>
      <w:r w:rsidR="00B50D5C">
        <w:t>necesitan</w:t>
      </w:r>
      <w:r w:rsidR="00935DBD">
        <w:t xml:space="preserve"> cierto tiempo</w:t>
      </w:r>
      <w:r w:rsidR="00B50D5C">
        <w:t xml:space="preserve"> para </w:t>
      </w:r>
      <w:r w:rsidR="00392430">
        <w:t>su recuperación.</w:t>
      </w:r>
      <w:r>
        <w:t xml:space="preserve"> </w:t>
      </w:r>
      <w:r w:rsidR="00F64AC4">
        <w:t xml:space="preserve">Afirmaciones como “el </w:t>
      </w:r>
      <w:proofErr w:type="spellStart"/>
      <w:r w:rsidR="00F64AC4">
        <w:t>Value</w:t>
      </w:r>
      <w:proofErr w:type="spellEnd"/>
      <w:r w:rsidR="00F64AC4">
        <w:t xml:space="preserve"> ha muerto”, “las tecnológicas son el futuro” o “Warren </w:t>
      </w:r>
      <w:proofErr w:type="spellStart"/>
      <w:r w:rsidR="00F64AC4">
        <w:t>Buffett</w:t>
      </w:r>
      <w:proofErr w:type="spellEnd"/>
      <w:r w:rsidR="00F64AC4">
        <w:t xml:space="preserve"> se ha vuelto obsoleto", suelen aflorar en momentos como el actual, para luego acabar en el olvido</w:t>
      </w:r>
      <w:r>
        <w:t>”</w:t>
      </w:r>
      <w:r w:rsidR="00F64AC4">
        <w:t>.</w:t>
      </w:r>
      <w:r w:rsidR="003F68CA">
        <w:t xml:space="preserve"> </w:t>
      </w:r>
    </w:p>
    <w:p w14:paraId="5A6AEA72" w14:textId="4F7C532C" w:rsidR="005206D3" w:rsidRPr="00AE7F95" w:rsidRDefault="00AE7F95" w:rsidP="00922E95">
      <w:pPr>
        <w:ind w:right="-1"/>
        <w:jc w:val="both"/>
        <w:rPr>
          <w:b/>
        </w:rPr>
      </w:pPr>
      <w:proofErr w:type="spellStart"/>
      <w:r w:rsidRPr="00AE7F95">
        <w:rPr>
          <w:b/>
        </w:rPr>
        <w:t>Value</w:t>
      </w:r>
      <w:proofErr w:type="spellEnd"/>
      <w:r w:rsidR="008F12F9">
        <w:rPr>
          <w:b/>
        </w:rPr>
        <w:t xml:space="preserve"> en SIA </w:t>
      </w:r>
      <w:proofErr w:type="spellStart"/>
      <w:r w:rsidR="008F12F9">
        <w:rPr>
          <w:b/>
        </w:rPr>
        <w:t>Funds</w:t>
      </w:r>
      <w:proofErr w:type="spellEnd"/>
    </w:p>
    <w:p w14:paraId="72AACC9A" w14:textId="3DA47DFC" w:rsidR="00AE7F95" w:rsidRDefault="00AE7F95" w:rsidP="00A31295">
      <w:pPr>
        <w:pStyle w:val="xm-1506563028745833738xxxxmsonormal"/>
        <w:jc w:val="both"/>
        <w:rPr>
          <w:rFonts w:ascii="Calibri" w:hAnsi="Calibri" w:cs="Calibri"/>
          <w:sz w:val="22"/>
          <w:szCs w:val="22"/>
          <w:lang w:eastAsia="en-US"/>
        </w:rPr>
      </w:pP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Actualmente, </w:t>
      </w:r>
      <w:r w:rsidR="005F7E74">
        <w:rPr>
          <w:rFonts w:ascii="Calibri" w:hAnsi="Calibri" w:cs="Calibri"/>
          <w:sz w:val="22"/>
          <w:szCs w:val="22"/>
          <w:lang w:eastAsia="en-US"/>
        </w:rPr>
        <w:t>SIA Funds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cuenta </w:t>
      </w:r>
      <w:r w:rsidR="00935DBD">
        <w:rPr>
          <w:rFonts w:ascii="Calibri" w:hAnsi="Calibri" w:cs="Calibri"/>
          <w:sz w:val="22"/>
          <w:szCs w:val="22"/>
          <w:lang w:eastAsia="en-US"/>
        </w:rPr>
        <w:t>principalmente con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</w:t>
      </w:r>
      <w:r w:rsidR="00935DBD">
        <w:rPr>
          <w:rFonts w:ascii="Calibri" w:hAnsi="Calibri" w:cs="Calibri"/>
          <w:sz w:val="22"/>
          <w:szCs w:val="22"/>
          <w:lang w:eastAsia="en-US"/>
        </w:rPr>
        <w:t>dos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fondos</w:t>
      </w:r>
      <w:r w:rsidR="005F7E7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5F7E74" w:rsidRPr="005F7E74">
        <w:rPr>
          <w:rFonts w:ascii="Calibri" w:hAnsi="Calibri" w:cs="Calibri"/>
          <w:i/>
          <w:sz w:val="22"/>
          <w:szCs w:val="22"/>
          <w:lang w:eastAsia="en-US"/>
        </w:rPr>
        <w:t>Value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</w:t>
      </w:r>
      <w:r w:rsidR="00935DBD">
        <w:rPr>
          <w:rFonts w:ascii="Calibri" w:hAnsi="Calibri" w:cs="Calibri"/>
          <w:sz w:val="22"/>
          <w:szCs w:val="22"/>
          <w:lang w:eastAsia="en-US"/>
        </w:rPr>
        <w:t>y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</w:t>
      </w:r>
      <w:r w:rsidR="00935DBD">
        <w:rPr>
          <w:rFonts w:ascii="Calibri" w:hAnsi="Calibri" w:cs="Calibri"/>
          <w:sz w:val="22"/>
          <w:szCs w:val="22"/>
          <w:lang w:eastAsia="en-US"/>
        </w:rPr>
        <w:t>unos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 </w:t>
      </w:r>
      <w:r w:rsidR="00935DBD">
        <w:rPr>
          <w:rFonts w:ascii="Calibri" w:hAnsi="Calibri" w:cs="Calibri"/>
          <w:sz w:val="22"/>
          <w:szCs w:val="22"/>
          <w:lang w:eastAsia="en-US"/>
        </w:rPr>
        <w:t>2</w:t>
      </w:r>
      <w:r w:rsidRPr="00AE7F95">
        <w:rPr>
          <w:rFonts w:ascii="Calibri" w:hAnsi="Calibri" w:cs="Calibri" w:hint="eastAsia"/>
          <w:sz w:val="22"/>
          <w:szCs w:val="22"/>
          <w:lang w:eastAsia="en-US"/>
        </w:rPr>
        <w:t xml:space="preserve">00 </w:t>
      </w:r>
      <w:r w:rsidR="00CD645C">
        <w:rPr>
          <w:rFonts w:ascii="Calibri" w:hAnsi="Calibri" w:cs="Calibri" w:hint="eastAsia"/>
          <w:sz w:val="22"/>
          <w:szCs w:val="22"/>
          <w:lang w:eastAsia="en-US"/>
        </w:rPr>
        <w:t>millones de euros bajo gestión</w:t>
      </w:r>
      <w:r w:rsidR="00CD645C">
        <w:rPr>
          <w:rFonts w:ascii="Calibri" w:hAnsi="Calibri" w:cs="Calibri"/>
          <w:sz w:val="22"/>
          <w:szCs w:val="22"/>
          <w:lang w:eastAsia="en-US"/>
        </w:rPr>
        <w:t>:</w:t>
      </w:r>
    </w:p>
    <w:p w14:paraId="146C95BF" w14:textId="77777777" w:rsidR="00AE7F95" w:rsidRPr="00AE7F95" w:rsidRDefault="00AE7F95" w:rsidP="00AE7F95">
      <w:pPr>
        <w:pStyle w:val="xm-1506563028745833738xxxxmsonormal"/>
        <w:rPr>
          <w:rFonts w:ascii="Calibri" w:hAnsi="Calibri" w:cs="Calibri"/>
          <w:sz w:val="22"/>
          <w:szCs w:val="22"/>
          <w:lang w:eastAsia="en-US"/>
        </w:rPr>
      </w:pPr>
    </w:p>
    <w:p w14:paraId="75E17FC7" w14:textId="1BDBFD6B" w:rsidR="00AE7F95" w:rsidRDefault="00AE7F95" w:rsidP="00CD645C">
      <w:pPr>
        <w:pStyle w:val="Prrafodelista"/>
        <w:numPr>
          <w:ilvl w:val="0"/>
          <w:numId w:val="18"/>
        </w:numPr>
        <w:ind w:right="-1"/>
        <w:jc w:val="both"/>
      </w:pPr>
      <w:r w:rsidRPr="00CD645C">
        <w:rPr>
          <w:rFonts w:ascii="Calibri" w:hAnsi="Calibri" w:cs="Calibri" w:hint="eastAsia"/>
          <w:i/>
        </w:rPr>
        <w:t>Classic</w:t>
      </w:r>
      <w:r w:rsidRPr="00CD645C">
        <w:rPr>
          <w:rFonts w:ascii="Calibri" w:hAnsi="Calibri" w:cs="Calibri" w:hint="eastAsia"/>
        </w:rPr>
        <w:t xml:space="preserve">: selección de 30 empresas, diversificadas por negocio y geografía, </w:t>
      </w:r>
      <w:r w:rsidR="00935DBD" w:rsidRPr="00CD645C">
        <w:rPr>
          <w:rFonts w:ascii="Calibri" w:hAnsi="Calibri" w:cs="Calibri"/>
        </w:rPr>
        <w:t>con el objetivo de generar</w:t>
      </w:r>
      <w:r w:rsidRPr="00CD645C">
        <w:rPr>
          <w:rFonts w:ascii="Calibri" w:hAnsi="Calibri" w:cs="Calibri" w:hint="eastAsia"/>
        </w:rPr>
        <w:t xml:space="preserve"> una rentabilidad superior al 10% anual. Es un fondo </w:t>
      </w:r>
      <w:proofErr w:type="spellStart"/>
      <w:r w:rsidR="00EF31E9" w:rsidRPr="00CD645C">
        <w:rPr>
          <w:rFonts w:ascii="Calibri" w:hAnsi="Calibri" w:cs="Calibri"/>
          <w:i/>
        </w:rPr>
        <w:t>Value</w:t>
      </w:r>
      <w:proofErr w:type="spellEnd"/>
      <w:r w:rsidR="00EF31E9" w:rsidRPr="00CD645C">
        <w:rPr>
          <w:rFonts w:ascii="Calibri" w:hAnsi="Calibri" w:cs="Calibri" w:hint="eastAsia"/>
        </w:rPr>
        <w:t xml:space="preserve"> </w:t>
      </w:r>
      <w:r w:rsidRPr="00CD645C">
        <w:rPr>
          <w:rFonts w:ascii="Calibri" w:hAnsi="Calibri" w:cs="Calibri" w:hint="eastAsia"/>
        </w:rPr>
        <w:t>global que busca proteger el capital y generar una rentabilidad interesante ajustada por riesgo.</w:t>
      </w:r>
      <w:r>
        <w:t xml:space="preserve"> En 2020, los mejores sectores </w:t>
      </w:r>
      <w:r w:rsidRPr="00CD645C">
        <w:rPr>
          <w:i/>
        </w:rPr>
        <w:t>Classic</w:t>
      </w:r>
      <w:r>
        <w:t xml:space="preserve"> han sido: tecnología (+35%), minas (+10%), </w:t>
      </w:r>
      <w:r w:rsidR="00935DBD">
        <w:t>consumo</w:t>
      </w:r>
      <w:r>
        <w:t xml:space="preserve"> (-3%) </w:t>
      </w:r>
      <w:r w:rsidRPr="00025ABE">
        <w:t xml:space="preserve">y servicios </w:t>
      </w:r>
      <w:r>
        <w:t>(-2%) y, siendo el peor, energía (-70%) seguido por industria, materiales de construcción y finanzas</w:t>
      </w:r>
      <w:r w:rsidR="00935DBD">
        <w:t xml:space="preserve"> que han caído del orden del 20% hasta noviembre.</w:t>
      </w:r>
    </w:p>
    <w:p w14:paraId="383A8B6D" w14:textId="767D8062" w:rsidR="00AE7F95" w:rsidRDefault="00AE7F95" w:rsidP="00CD645C">
      <w:pPr>
        <w:pStyle w:val="xmsonormal"/>
        <w:numPr>
          <w:ilvl w:val="0"/>
          <w:numId w:val="18"/>
        </w:numPr>
        <w:jc w:val="both"/>
        <w:rPr>
          <w:lang w:eastAsia="en-US"/>
        </w:rPr>
      </w:pPr>
      <w:r w:rsidRPr="00AE7F95">
        <w:rPr>
          <w:rFonts w:hint="eastAsia"/>
          <w:i/>
          <w:lang w:eastAsia="en-US"/>
        </w:rPr>
        <w:lastRenderedPageBreak/>
        <w:t>Natural Resources</w:t>
      </w:r>
      <w:r w:rsidRPr="00AE7F95">
        <w:rPr>
          <w:rFonts w:hint="eastAsia"/>
          <w:lang w:eastAsia="en-US"/>
        </w:rPr>
        <w:t>: inversión en renta variable y en valores vinculados a la renta variable (incluidos bonos convertibles) emitidos por sociedades implicadas en el sector de recursos naturales</w:t>
      </w:r>
      <w:r w:rsidR="00935DBD">
        <w:rPr>
          <w:lang w:eastAsia="en-US"/>
        </w:rPr>
        <w:t>.</w:t>
      </w:r>
    </w:p>
    <w:p w14:paraId="16508B63" w14:textId="77777777" w:rsidR="009C5C2D" w:rsidRDefault="009C5C2D" w:rsidP="00935DBD">
      <w:pPr>
        <w:pStyle w:val="xmsonormal"/>
        <w:ind w:firstLine="708"/>
        <w:jc w:val="both"/>
        <w:rPr>
          <w:lang w:eastAsia="en-US"/>
        </w:rPr>
      </w:pPr>
    </w:p>
    <w:p w14:paraId="759D5C29" w14:textId="459B8AF1" w:rsidR="00617722" w:rsidRPr="00617722" w:rsidRDefault="00CD645C" w:rsidP="00A31295">
      <w:pPr>
        <w:jc w:val="both"/>
      </w:pPr>
      <w:r>
        <w:t>La</w:t>
      </w:r>
      <w:r w:rsidR="009C5C2D">
        <w:t xml:space="preserve"> principal causa de una menor rentabilidad reciente de nuestro fondo </w:t>
      </w:r>
      <w:proofErr w:type="spellStart"/>
      <w:r w:rsidR="009C5C2D" w:rsidRPr="008F12F9">
        <w:rPr>
          <w:i/>
        </w:rPr>
        <w:t>Classic</w:t>
      </w:r>
      <w:proofErr w:type="spellEnd"/>
      <w:r w:rsidR="009C5C2D">
        <w:t xml:space="preserve"> ha sido nuestra exposición a los productos básicos (petróleo y cobre, en particular), que ha representado en promedio el 20% del fondo y que, creemos, empiezan un nuevo ciclo alcista de largo plazo en 2020-21.</w:t>
      </w:r>
      <w:r>
        <w:t xml:space="preserve"> </w:t>
      </w:r>
      <w:r w:rsidR="00617722">
        <w:t xml:space="preserve">De hecho, </w:t>
      </w:r>
      <w:r>
        <w:t xml:space="preserve">en nuestra firme apuesta por el </w:t>
      </w:r>
      <w:proofErr w:type="spellStart"/>
      <w:r w:rsidRPr="00CE3864">
        <w:rPr>
          <w:i/>
        </w:rPr>
        <w:t>Value</w:t>
      </w:r>
      <w:proofErr w:type="spellEnd"/>
      <w:r>
        <w:t xml:space="preserve"> </w:t>
      </w:r>
      <w:r w:rsidR="00942568">
        <w:t>hemos</w:t>
      </w:r>
      <w:r w:rsidR="00617722" w:rsidRPr="00617722">
        <w:t xml:space="preserve"> damos la bienvenida a</w:t>
      </w:r>
      <w:r w:rsidR="00942568">
        <w:t xml:space="preserve"> nuestro fondo</w:t>
      </w:r>
      <w:r w:rsidR="00617722" w:rsidRPr="00617722">
        <w:t xml:space="preserve"> </w:t>
      </w:r>
      <w:r w:rsidR="00942568">
        <w:t>a</w:t>
      </w:r>
      <w:r>
        <w:t xml:space="preserve"> compañías como</w:t>
      </w:r>
      <w:r w:rsidR="00617722" w:rsidRPr="00617722">
        <w:t xml:space="preserve"> </w:t>
      </w:r>
      <w:proofErr w:type="spellStart"/>
      <w:r w:rsidR="00617722" w:rsidRPr="00617722">
        <w:t>Compass</w:t>
      </w:r>
      <w:proofErr w:type="spellEnd"/>
      <w:r w:rsidR="00617722" w:rsidRPr="00617722">
        <w:t xml:space="preserve"> </w:t>
      </w:r>
      <w:proofErr w:type="spellStart"/>
      <w:r w:rsidR="00617722" w:rsidRPr="00617722">
        <w:t>Group</w:t>
      </w:r>
      <w:proofErr w:type="spellEnd"/>
      <w:r w:rsidR="00617722" w:rsidRPr="00617722">
        <w:t xml:space="preserve"> (catering), </w:t>
      </w:r>
      <w:proofErr w:type="spellStart"/>
      <w:r w:rsidR="00617722" w:rsidRPr="00617722">
        <w:t>Mowi</w:t>
      </w:r>
      <w:proofErr w:type="spellEnd"/>
      <w:r w:rsidR="00617722" w:rsidRPr="00617722">
        <w:t xml:space="preserve"> (salmón) y </w:t>
      </w:r>
      <w:proofErr w:type="spellStart"/>
      <w:r w:rsidR="00617722" w:rsidRPr="00617722">
        <w:t>Hess</w:t>
      </w:r>
      <w:proofErr w:type="spellEnd"/>
      <w:r w:rsidR="00617722" w:rsidRPr="00617722">
        <w:t xml:space="preserve"> (petróleo) que esperamos nos den enormes alegrías en los próximos años.</w:t>
      </w:r>
      <w:r>
        <w:t xml:space="preserve"> </w:t>
      </w:r>
      <w:r w:rsidRPr="003F68CA">
        <w:t xml:space="preserve">La estrategia </w:t>
      </w:r>
      <w:proofErr w:type="spellStart"/>
      <w:r w:rsidRPr="00B55C24">
        <w:rPr>
          <w:i/>
        </w:rPr>
        <w:t>Value</w:t>
      </w:r>
      <w:proofErr w:type="spellEnd"/>
      <w:r w:rsidRPr="003F68CA">
        <w:t xml:space="preserve"> es una estrategia ganadora a largo plazo y va a recuperar el terreno perdido</w:t>
      </w:r>
      <w:r>
        <w:t>.</w:t>
      </w:r>
    </w:p>
    <w:p w14:paraId="3903AA64" w14:textId="599F0997" w:rsidR="00AE7F95" w:rsidRDefault="00AE7F95" w:rsidP="00A31295">
      <w:pPr>
        <w:pStyle w:val="xmsonormal"/>
        <w:jc w:val="both"/>
        <w:rPr>
          <w:lang w:eastAsia="en-US"/>
        </w:rPr>
      </w:pPr>
    </w:p>
    <w:p w14:paraId="74E33C6F" w14:textId="77777777" w:rsidR="00ED4BEE" w:rsidRPr="00385334" w:rsidRDefault="00ED4BEE" w:rsidP="006D6186">
      <w:pPr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</w:pP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Sobre </w:t>
      </w:r>
      <w:r w:rsidR="00646683"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>SIA</w:t>
      </w:r>
      <w:r w:rsidRPr="00385334">
        <w:rPr>
          <w:rFonts w:ascii="Calibri" w:hAnsi="Calibri" w:cs="Calibri"/>
          <w:b/>
          <w:bCs/>
          <w:color w:val="000000"/>
          <w:sz w:val="18"/>
          <w:szCs w:val="18"/>
          <w:lang w:val="es-ES_tradnl"/>
        </w:rPr>
        <w:t xml:space="preserve"> </w:t>
      </w:r>
    </w:p>
    <w:p w14:paraId="4C9261DD" w14:textId="0D2BA8ED" w:rsidR="00646683" w:rsidRPr="00385334" w:rsidRDefault="00EC23D5" w:rsidP="006D6186">
      <w:pPr>
        <w:ind w:right="-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  <w:hyperlink r:id="rId8" w:history="1">
        <w:r w:rsidR="00646683" w:rsidRPr="00385334">
          <w:rPr>
            <w:rFonts w:ascii="Calibri" w:hAnsi="Calibri" w:cs="Calibri"/>
            <w:color w:val="000000"/>
            <w:sz w:val="18"/>
            <w:szCs w:val="18"/>
          </w:rPr>
          <w:t>SIA</w:t>
        </w:r>
      </w:hyperlink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, gestora de fondos suiza, con filosofía </w:t>
      </w:r>
      <w:r w:rsidR="00663483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634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>,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basa su enfoque en la búsqueda de buenos negocios/empresas, que generan rentas crecientes a largo plazo, y que cotizan con descuento. Para ello resulta clave “estimar” cuáles serán los beneficios futuros del activo, calcular su valor intrínseco, y aprovechar la volatilidad de los precios en Bolsa para comprar barato.</w:t>
      </w:r>
      <w:r w:rsidR="008260CE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Su principal objetivo consiste en proteger el capital invertido y obtener un retorno del 10-12% anual, mediante la búsqueda de empresas sólidas en las que puedan invertir a largo plazo a un precio de entrada atractivo. Actualmente, la gestora de activos </w:t>
      </w:r>
      <w:r w:rsidR="008260CE" w:rsidRPr="0072059D">
        <w:rPr>
          <w:rFonts w:ascii="Calibri" w:hAnsi="Calibri" w:cs="Calibri"/>
          <w:i/>
          <w:color w:val="000000"/>
          <w:sz w:val="18"/>
          <w:szCs w:val="18"/>
          <w:lang w:val="es-ES_tradnl"/>
        </w:rPr>
        <w:t>value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 cuenta con tres fondos: Classic, Natural Resources y Stability, con algo más de </w:t>
      </w:r>
      <w:r w:rsidR="00935DBD">
        <w:rPr>
          <w:rFonts w:ascii="Calibri" w:hAnsi="Calibri" w:cs="Calibri"/>
          <w:color w:val="000000"/>
          <w:sz w:val="18"/>
          <w:szCs w:val="18"/>
          <w:lang w:val="es-ES_tradnl"/>
        </w:rPr>
        <w:t>2</w:t>
      </w:r>
      <w:r w:rsidR="00646683" w:rsidRPr="0038533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00 millones de euros bajo gestión. </w:t>
      </w:r>
    </w:p>
    <w:p w14:paraId="26C138B9" w14:textId="77777777" w:rsidR="00646683" w:rsidRDefault="00646683" w:rsidP="00EB235F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p w14:paraId="5DA9D816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b/>
          <w:i/>
          <w:sz w:val="20"/>
          <w:szCs w:val="20"/>
          <w:u w:val="single"/>
        </w:rPr>
        <w:t>CONTACTO SIA</w:t>
      </w:r>
    </w:p>
    <w:p w14:paraId="57D3BDC0" w14:textId="77777777" w:rsidR="00ED4BEE" w:rsidRPr="00EB235F" w:rsidRDefault="00ED4BEE" w:rsidP="00EB235F">
      <w:pPr>
        <w:jc w:val="both"/>
        <w:rPr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t xml:space="preserve">Actitud de Comunicación </w:t>
      </w:r>
    </w:p>
    <w:p w14:paraId="71234EF5" w14:textId="77777777" w:rsidR="00ED4BEE" w:rsidRPr="00EB235F" w:rsidRDefault="00ED4BEE" w:rsidP="00EB235F">
      <w:pPr>
        <w:jc w:val="both"/>
        <w:rPr>
          <w:rStyle w:val="Hipervnculo"/>
          <w:rFonts w:cstheme="minorHAnsi"/>
          <w:sz w:val="20"/>
          <w:szCs w:val="20"/>
        </w:rPr>
      </w:pPr>
      <w:r w:rsidRPr="00EB235F">
        <w:rPr>
          <w:rFonts w:cstheme="minorHAnsi"/>
          <w:sz w:val="20"/>
          <w:szCs w:val="20"/>
        </w:rPr>
        <w:t xml:space="preserve">María Delgado / </w:t>
      </w:r>
      <w:hyperlink r:id="rId9" w:history="1">
        <w:r w:rsidRPr="00EB235F">
          <w:rPr>
            <w:rStyle w:val="Hipervnculo"/>
            <w:rFonts w:cstheme="minorHAnsi"/>
            <w:sz w:val="20"/>
            <w:szCs w:val="20"/>
          </w:rPr>
          <w:t>maria.delgado@actitud.es</w:t>
        </w:r>
      </w:hyperlink>
    </w:p>
    <w:p w14:paraId="1D621FBC" w14:textId="2BD7B884" w:rsidR="00ED4BEE" w:rsidRDefault="00ED4BEE" w:rsidP="00EB235F">
      <w:pPr>
        <w:jc w:val="both"/>
      </w:pPr>
      <w:r w:rsidRPr="00EB235F">
        <w:rPr>
          <w:rFonts w:cstheme="minorHAnsi"/>
          <w:sz w:val="20"/>
          <w:szCs w:val="20"/>
        </w:rPr>
        <w:t>Teléfono: 913 022 860</w:t>
      </w:r>
    </w:p>
    <w:sectPr w:rsidR="00ED4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857"/>
    <w:multiLevelType w:val="hybridMultilevel"/>
    <w:tmpl w:val="5C4ADF5A"/>
    <w:lvl w:ilvl="0" w:tplc="075EE3E4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1A0D40E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3C0242A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34443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94A1B98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E70B0C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968A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BC4C1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E763AE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85970DA"/>
    <w:multiLevelType w:val="hybridMultilevel"/>
    <w:tmpl w:val="7A128920"/>
    <w:lvl w:ilvl="0" w:tplc="08BC8628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C367568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976411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3483D9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9B41614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3F4C0B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8C84B6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B94AC7A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BCE2DEA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01D4F49"/>
    <w:multiLevelType w:val="multilevel"/>
    <w:tmpl w:val="EC32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F539A"/>
    <w:multiLevelType w:val="hybridMultilevel"/>
    <w:tmpl w:val="F7A07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2254"/>
    <w:multiLevelType w:val="hybridMultilevel"/>
    <w:tmpl w:val="570A7CE6"/>
    <w:lvl w:ilvl="0" w:tplc="E7E260BC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536B5A6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F01696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0B44A66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79887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752581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9201E7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112576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5427AC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2B2D05CB"/>
    <w:multiLevelType w:val="hybridMultilevel"/>
    <w:tmpl w:val="FCAE3A40"/>
    <w:lvl w:ilvl="0" w:tplc="27F42A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45A4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B3E577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0660F4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56606A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38052E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480614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BC0E80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A7C1EC0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2B4D6A99"/>
    <w:multiLevelType w:val="hybridMultilevel"/>
    <w:tmpl w:val="32BCD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933F1"/>
    <w:multiLevelType w:val="hybridMultilevel"/>
    <w:tmpl w:val="E1366754"/>
    <w:lvl w:ilvl="0" w:tplc="9AD434AE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749F08"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E38F0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EB6F98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3B0D406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A962AF8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2B807E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B16A04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EA2BD4C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57A80136"/>
    <w:multiLevelType w:val="hybridMultilevel"/>
    <w:tmpl w:val="51BAC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119A5"/>
    <w:multiLevelType w:val="hybridMultilevel"/>
    <w:tmpl w:val="5B56647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D81387C"/>
    <w:multiLevelType w:val="hybridMultilevel"/>
    <w:tmpl w:val="41D6076C"/>
    <w:lvl w:ilvl="0" w:tplc="325E9C6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C887056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F9E4218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82CE3E6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37EDE46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4CC74C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4BCF17A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0026F0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A8C95B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 w15:restartNumberingAfterBreak="0">
    <w:nsid w:val="719A6C7D"/>
    <w:multiLevelType w:val="hybridMultilevel"/>
    <w:tmpl w:val="72D619C2"/>
    <w:lvl w:ilvl="0" w:tplc="7E1EE7B6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9A7482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B5E7FE8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E1A9D7C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5EACD3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658E6E4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F606BC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49687F2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4E2C35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746175C4"/>
    <w:multiLevelType w:val="hybridMultilevel"/>
    <w:tmpl w:val="3D6E1CA6"/>
    <w:lvl w:ilvl="0" w:tplc="6CC63EF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6F6B338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C9612A4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77AC4FA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ADC591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B866530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27AF2D2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5EA1E8E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2EAF34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78244D80"/>
    <w:multiLevelType w:val="hybridMultilevel"/>
    <w:tmpl w:val="D40EA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04FDE"/>
    <w:multiLevelType w:val="multilevel"/>
    <w:tmpl w:val="69A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B258E"/>
    <w:multiLevelType w:val="hybridMultilevel"/>
    <w:tmpl w:val="F7DA12A8"/>
    <w:lvl w:ilvl="0" w:tplc="1624E4E2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13A9E4C" w:tentative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0EE54DC" w:tentative="1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302500" w:tentative="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FE4CFD2" w:tentative="1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B988FDC" w:tentative="1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1E6B290" w:tentative="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0DABEB4" w:tentative="1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080DE48" w:tentative="1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7BC44F43"/>
    <w:multiLevelType w:val="hybridMultilevel"/>
    <w:tmpl w:val="FB9AF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58F0"/>
    <w:multiLevelType w:val="hybridMultilevel"/>
    <w:tmpl w:val="DCB24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  <w:num w:numId="15">
    <w:abstractNumId w:val="15"/>
  </w:num>
  <w:num w:numId="16">
    <w:abstractNumId w:val="4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EE"/>
    <w:rsid w:val="00025ABE"/>
    <w:rsid w:val="00031972"/>
    <w:rsid w:val="000520D6"/>
    <w:rsid w:val="00052442"/>
    <w:rsid w:val="00055873"/>
    <w:rsid w:val="00065A4B"/>
    <w:rsid w:val="00065F45"/>
    <w:rsid w:val="000912BF"/>
    <w:rsid w:val="00094BAC"/>
    <w:rsid w:val="000B4904"/>
    <w:rsid w:val="000B4B60"/>
    <w:rsid w:val="000C5101"/>
    <w:rsid w:val="000E70C3"/>
    <w:rsid w:val="00134894"/>
    <w:rsid w:val="001D7095"/>
    <w:rsid w:val="0020204A"/>
    <w:rsid w:val="002349F7"/>
    <w:rsid w:val="002362F2"/>
    <w:rsid w:val="00261647"/>
    <w:rsid w:val="00297581"/>
    <w:rsid w:val="002A58AB"/>
    <w:rsid w:val="002A684D"/>
    <w:rsid w:val="002B40D0"/>
    <w:rsid w:val="002D1B5B"/>
    <w:rsid w:val="002D65E5"/>
    <w:rsid w:val="00385334"/>
    <w:rsid w:val="00391821"/>
    <w:rsid w:val="00392430"/>
    <w:rsid w:val="003B4E36"/>
    <w:rsid w:val="003E4D4D"/>
    <w:rsid w:val="003F68CA"/>
    <w:rsid w:val="003F7075"/>
    <w:rsid w:val="0040151B"/>
    <w:rsid w:val="004471FC"/>
    <w:rsid w:val="00450220"/>
    <w:rsid w:val="00461CCC"/>
    <w:rsid w:val="00461D31"/>
    <w:rsid w:val="00474F8E"/>
    <w:rsid w:val="00482D5A"/>
    <w:rsid w:val="004C1843"/>
    <w:rsid w:val="005206D3"/>
    <w:rsid w:val="00566963"/>
    <w:rsid w:val="00571ADC"/>
    <w:rsid w:val="0058054B"/>
    <w:rsid w:val="0058059F"/>
    <w:rsid w:val="005A718C"/>
    <w:rsid w:val="005F3F4B"/>
    <w:rsid w:val="005F634A"/>
    <w:rsid w:val="005F7E74"/>
    <w:rsid w:val="00601AB3"/>
    <w:rsid w:val="006053FD"/>
    <w:rsid w:val="00610066"/>
    <w:rsid w:val="00614554"/>
    <w:rsid w:val="00617722"/>
    <w:rsid w:val="00646683"/>
    <w:rsid w:val="00656912"/>
    <w:rsid w:val="00663483"/>
    <w:rsid w:val="00692CCA"/>
    <w:rsid w:val="006B577C"/>
    <w:rsid w:val="006D6186"/>
    <w:rsid w:val="006E0979"/>
    <w:rsid w:val="006F2C40"/>
    <w:rsid w:val="006F53FD"/>
    <w:rsid w:val="006F6ACC"/>
    <w:rsid w:val="0072059D"/>
    <w:rsid w:val="0072608B"/>
    <w:rsid w:val="00731099"/>
    <w:rsid w:val="00737BEB"/>
    <w:rsid w:val="00791A8C"/>
    <w:rsid w:val="007937B7"/>
    <w:rsid w:val="00797B18"/>
    <w:rsid w:val="007A4E28"/>
    <w:rsid w:val="007A7FE5"/>
    <w:rsid w:val="007C2B47"/>
    <w:rsid w:val="007C552D"/>
    <w:rsid w:val="007F4E4F"/>
    <w:rsid w:val="007F5777"/>
    <w:rsid w:val="008260CE"/>
    <w:rsid w:val="00836078"/>
    <w:rsid w:val="0084469C"/>
    <w:rsid w:val="008629F5"/>
    <w:rsid w:val="008C566B"/>
    <w:rsid w:val="008C7464"/>
    <w:rsid w:val="008E60FC"/>
    <w:rsid w:val="008F12F9"/>
    <w:rsid w:val="00922E95"/>
    <w:rsid w:val="00935DBD"/>
    <w:rsid w:val="00942568"/>
    <w:rsid w:val="0098473D"/>
    <w:rsid w:val="009A503C"/>
    <w:rsid w:val="009C5C2D"/>
    <w:rsid w:val="00A12441"/>
    <w:rsid w:val="00A14569"/>
    <w:rsid w:val="00A31295"/>
    <w:rsid w:val="00A531B5"/>
    <w:rsid w:val="00A55517"/>
    <w:rsid w:val="00A703DC"/>
    <w:rsid w:val="00A72C81"/>
    <w:rsid w:val="00AD720B"/>
    <w:rsid w:val="00AE3C13"/>
    <w:rsid w:val="00AE7F95"/>
    <w:rsid w:val="00AF1921"/>
    <w:rsid w:val="00B133C4"/>
    <w:rsid w:val="00B1357A"/>
    <w:rsid w:val="00B1758A"/>
    <w:rsid w:val="00B446A8"/>
    <w:rsid w:val="00B50D5C"/>
    <w:rsid w:val="00B55C24"/>
    <w:rsid w:val="00B977CE"/>
    <w:rsid w:val="00BA4F7B"/>
    <w:rsid w:val="00BA5DCF"/>
    <w:rsid w:val="00C23AF4"/>
    <w:rsid w:val="00C27FD9"/>
    <w:rsid w:val="00C41598"/>
    <w:rsid w:val="00C41FB5"/>
    <w:rsid w:val="00C45AE7"/>
    <w:rsid w:val="00C551DA"/>
    <w:rsid w:val="00C73CED"/>
    <w:rsid w:val="00C85AC1"/>
    <w:rsid w:val="00CA26DE"/>
    <w:rsid w:val="00CB2D65"/>
    <w:rsid w:val="00CD2444"/>
    <w:rsid w:val="00CD645C"/>
    <w:rsid w:val="00CE3864"/>
    <w:rsid w:val="00CF32CA"/>
    <w:rsid w:val="00D2023B"/>
    <w:rsid w:val="00D33A79"/>
    <w:rsid w:val="00D4603E"/>
    <w:rsid w:val="00D57880"/>
    <w:rsid w:val="00D86D99"/>
    <w:rsid w:val="00D912DD"/>
    <w:rsid w:val="00DC29B8"/>
    <w:rsid w:val="00E05AAB"/>
    <w:rsid w:val="00E2243C"/>
    <w:rsid w:val="00E56615"/>
    <w:rsid w:val="00E60274"/>
    <w:rsid w:val="00E971B9"/>
    <w:rsid w:val="00EA2AB8"/>
    <w:rsid w:val="00EB235F"/>
    <w:rsid w:val="00EC23D5"/>
    <w:rsid w:val="00EC2822"/>
    <w:rsid w:val="00EC28C2"/>
    <w:rsid w:val="00ED267A"/>
    <w:rsid w:val="00ED4BEE"/>
    <w:rsid w:val="00EE1038"/>
    <w:rsid w:val="00EF31E9"/>
    <w:rsid w:val="00F01534"/>
    <w:rsid w:val="00F30B13"/>
    <w:rsid w:val="00F50D67"/>
    <w:rsid w:val="00F64AC4"/>
    <w:rsid w:val="00F93F66"/>
    <w:rsid w:val="00FA34C0"/>
    <w:rsid w:val="00FD31D5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FC1"/>
  <w15:chartTrackingRefBased/>
  <w15:docId w15:val="{D7055FE9-5B09-474C-BE67-20A4DF8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4B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10066"/>
    <w:rPr>
      <w:b/>
      <w:bCs/>
    </w:rPr>
  </w:style>
  <w:style w:type="character" w:styleId="nfasis">
    <w:name w:val="Emphasis"/>
    <w:basedOn w:val="Fuentedeprrafopredeter"/>
    <w:uiPriority w:val="20"/>
    <w:qFormat/>
    <w:rsid w:val="00610066"/>
    <w:rPr>
      <w:i/>
      <w:iCs/>
    </w:rPr>
  </w:style>
  <w:style w:type="paragraph" w:styleId="Prrafodelista">
    <w:name w:val="List Paragraph"/>
    <w:basedOn w:val="Normal"/>
    <w:uiPriority w:val="34"/>
    <w:qFormat/>
    <w:rsid w:val="00692C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C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92C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C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C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C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CCA"/>
    <w:rPr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AE7F95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m-1506563028745833738xxxxmsonormal">
    <w:name w:val="x_m-1506563028745833738xxxxmsonormal"/>
    <w:basedOn w:val="Normal"/>
    <w:uiPriority w:val="99"/>
    <w:rsid w:val="00AE7F9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89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76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8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9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7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1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6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357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69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216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1762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733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26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952">
          <w:marLeft w:val="99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00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44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23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-i-a.ch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.delgado@actitu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5469-4344-44B7-99C1-54059115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994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Meri</dc:creator>
  <cp:keywords/>
  <dc:description/>
  <cp:lastModifiedBy>Meri Meri</cp:lastModifiedBy>
  <cp:revision>10</cp:revision>
  <dcterms:created xsi:type="dcterms:W3CDTF">2020-11-05T13:03:00Z</dcterms:created>
  <dcterms:modified xsi:type="dcterms:W3CDTF">2020-11-06T08:51:00Z</dcterms:modified>
</cp:coreProperties>
</file>