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Según la sentencia del Tribunal Europeo de Justicia,</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rPr>
      </w:pPr>
      <w:r w:rsidDel="00000000" w:rsidR="00000000" w:rsidRPr="00000000">
        <w:rPr>
          <w:rFonts w:ascii="Calibri" w:cs="Calibri" w:eastAsia="Calibri" w:hAnsi="Calibri"/>
          <w:b w:val="1"/>
          <w:sz w:val="36"/>
          <w:szCs w:val="36"/>
          <w:rtl w:val="0"/>
        </w:rPr>
        <w:t xml:space="preserve">Las tarjetas de embarque ya no es un documento imprescindible para reclamar una indemnización</w:t>
      </w:r>
      <w:r w:rsidDel="00000000" w:rsidR="00000000" w:rsidRPr="00000000">
        <w:rPr>
          <w:rtl w:val="0"/>
        </w:rPr>
      </w:r>
    </w:p>
    <w:p w:rsidR="00000000" w:rsidDel="00000000" w:rsidP="00000000" w:rsidRDefault="00000000" w:rsidRPr="00000000" w14:paraId="00000003">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numPr>
          <w:ilvl w:val="0"/>
          <w:numId w:val="1"/>
        </w:numPr>
        <w:spacing w:after="200"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 tarjeta de embarque únicamente incluye información que la aerolínea ya tiene. Por lo que se confirma que es un documento innecesario en una reclamación</w:t>
      </w:r>
    </w:p>
    <w:p w:rsidR="00000000" w:rsidDel="00000000" w:rsidP="00000000" w:rsidRDefault="00000000" w:rsidRPr="00000000" w14:paraId="00000005">
      <w:pPr>
        <w:numPr>
          <w:ilvl w:val="0"/>
          <w:numId w:val="1"/>
        </w:numPr>
        <w:spacing w:after="200"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 media, más de 9 millones de pasajeros tienen derecho a una indemnización por retraso de vuelos en Europa cada año</w:t>
      </w:r>
    </w:p>
    <w:p w:rsidR="00000000" w:rsidDel="00000000" w:rsidP="00000000" w:rsidRDefault="00000000" w:rsidRPr="00000000" w14:paraId="00000006">
      <w:pPr>
        <w:spacing w:after="20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xx de octubre de 2023.- </w:t>
      </w:r>
      <w:hyperlink r:id="rId7">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organización más importante del mundo de defensa de los derechos de los pasajeros aéreos, centra su trabajo en ayudar a los pasajeros aéreos a recibir una compensación cuando sufren algún tipo de incidente con las aerolíneas, pero además, la compañía  también se preocupa en mantener informados a los pasajeros de sus derechos y ayudarles para actuar frente a las compañías aéreas. </w:t>
      </w:r>
    </w:p>
    <w:p w:rsidR="00000000" w:rsidDel="00000000" w:rsidP="00000000" w:rsidRDefault="00000000" w:rsidRPr="00000000" w14:paraId="00000007">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este sentido, a la hora de reclamar un vuelo, las aerolíneas pueden tomar algunas medidas que compliquen el proceso de reclamación. Este es el caso de solicitar a los pasajeros la tarjeta de embarque de un vuelo retrasado o cancelado. </w:t>
      </w:r>
    </w:p>
    <w:p w:rsidR="00000000" w:rsidDel="00000000" w:rsidP="00000000" w:rsidRDefault="00000000" w:rsidRPr="00000000" w14:paraId="00000008">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AirHelp recuerda que, desde 2019, </w:t>
      </w:r>
      <w:r w:rsidDel="00000000" w:rsidR="00000000" w:rsidRPr="00000000">
        <w:rPr>
          <w:rFonts w:ascii="Calibri" w:cs="Calibri" w:eastAsia="Calibri" w:hAnsi="Calibri"/>
          <w:b w:val="1"/>
          <w:sz w:val="22"/>
          <w:szCs w:val="22"/>
          <w:rtl w:val="0"/>
        </w:rPr>
        <w:t xml:space="preserve">las tarjetas de embarque no son un documento necesario a la hora de presentar una reclamación.</w:t>
      </w:r>
      <w:r w:rsidDel="00000000" w:rsidR="00000000" w:rsidRPr="00000000">
        <w:rPr>
          <w:rFonts w:ascii="Calibri" w:cs="Calibri" w:eastAsia="Calibri" w:hAnsi="Calibri"/>
          <w:sz w:val="22"/>
          <w:szCs w:val="22"/>
          <w:rtl w:val="0"/>
        </w:rPr>
        <w:t xml:space="preserve"> Así se refleja en la sentencia que aprobó el Tribunal Europeo de Justicia, que determinó que los datos que proporcionaba una tarjeta de embarque es información que tiene la compañía que opera el vuelo retrasado o cancelado.</w:t>
      </w:r>
    </w:p>
    <w:p w:rsidR="00000000" w:rsidDel="00000000" w:rsidP="00000000" w:rsidRDefault="00000000" w:rsidRPr="00000000" w14:paraId="00000009">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“Desde AirHelp, siempre hemos considerado que exigir la tarjeta de embarque es una medida innecesaria, ya que, por ejemplo, tener la versión electrónica del billete debería ser suficiente. Por lo que nos mantenemos muy satisfechos con la decisión que tomó en su día el Tribunal Europeo de Justicia y consideramos que continúa teniendo un impacto muy positivo en los derechos de los pasajeros que necesitan iniciar un proceso de reclamación", tal y como afirmó Rosa García, asesora legal de AirHelp.</w:t>
      </w:r>
    </w:p>
    <w:p w:rsidR="00000000" w:rsidDel="00000000" w:rsidP="00000000" w:rsidRDefault="00000000" w:rsidRPr="00000000" w14:paraId="0000000A">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pesar de esta medida, AirHelp siempre recomienda acumular la mayor información y documentación posible de la interrupción del vuelo, y registros de los gastos que este haya ocasionado al viajero. </w:t>
      </w:r>
    </w:p>
    <w:p w:rsidR="00000000" w:rsidDel="00000000" w:rsidP="00000000" w:rsidRDefault="00000000" w:rsidRPr="00000000" w14:paraId="0000000B">
      <w:pPr>
        <w:spacing w:after="2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 proyecto igualitario para UE gracias a la CE261</w:t>
      </w:r>
    </w:p>
    <w:p w:rsidR="00000000" w:rsidDel="00000000" w:rsidP="00000000" w:rsidRDefault="00000000" w:rsidRPr="00000000" w14:paraId="0000000C">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decisiones del Tribunal Europeo de Justicia son vinculantes para todos los tribunales de la UE y se aplican a todos por igual. </w:t>
      </w:r>
    </w:p>
    <w:p w:rsidR="00000000" w:rsidDel="00000000" w:rsidP="00000000" w:rsidRDefault="00000000" w:rsidRPr="00000000" w14:paraId="0000000D">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la CE261, que regula los vuelos que tienen salida o destino en la UE, a</w:t>
      </w:r>
      <w:r w:rsidDel="00000000" w:rsidR="00000000" w:rsidRPr="00000000">
        <w:rPr>
          <w:rFonts w:ascii="Calibri" w:cs="Calibri" w:eastAsia="Calibri" w:hAnsi="Calibri"/>
          <w:sz w:val="22"/>
          <w:szCs w:val="22"/>
          <w:rtl w:val="0"/>
        </w:rPr>
        <w:t xml:space="preserve">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0E">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0F">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0">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p>
    <w:p w:rsidR="00000000" w:rsidDel="00000000" w:rsidP="00000000" w:rsidRDefault="00000000" w:rsidRPr="00000000" w14:paraId="00000011">
      <w:pPr>
        <w:spacing w:after="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3">
      <w:pPr>
        <w:spacing w:after="160" w:line="276"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14">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15">
      <w:pPr>
        <w:spacing w:after="160" w:line="276"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8">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0">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19">
      <w:pPr>
        <w:spacing w:after="160" w:lineRule="auto"/>
        <w:jc w:val="both"/>
        <w:rPr/>
      </w:pPr>
      <w:hyperlink r:id="rId11">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A">
      <w:pPr>
        <w:spacing w:after="160" w:lineRule="auto"/>
        <w:jc w:val="both"/>
        <w:rPr>
          <w:color w:val="262626"/>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180975</wp:posOffset>
          </wp:positionV>
          <wp:extent cx="1430663" cy="557958"/>
          <wp:effectExtent b="0" l="0" r="0" t="0"/>
          <wp:wrapNone/>
          <wp:docPr id="7" name="image1.png"/>
          <a:graphic>
            <a:graphicData uri="http://schemas.openxmlformats.org/drawingml/2006/picture">
              <pic:pic>
                <pic:nvPicPr>
                  <pic:cNvPr id="0" name="image1.png"/>
                  <pic:cNvPicPr preferRelativeResize="0"/>
                </pic:nvPicPr>
                <pic:blipFill>
                  <a:blip r:embed="rId1"/>
                  <a:srcRect b="0" l="-3143" r="-3989"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rsid w:val="00B119C2"/>
    <w:rPr>
      <w:lang w:eastAsia="es-ES_tradnl"/>
    </w:rPr>
  </w:style>
  <w:style w:type="paragraph" w:styleId="Ttulo1">
    <w:name w:val="heading 1"/>
    <w:basedOn w:val="Normal"/>
    <w:next w:val="Normal"/>
    <w:pPr>
      <w:keepNext w:val="1"/>
      <w:keepLines w:val="1"/>
      <w:spacing w:after="120" w:before="400" w:line="276" w:lineRule="auto"/>
      <w:outlineLvl w:val="0"/>
    </w:pPr>
    <w:rPr>
      <w:rFonts w:ascii="Arial" w:cs="Arial" w:eastAsia="Arial" w:hAnsi="Arial"/>
      <w:sz w:val="40"/>
      <w:szCs w:val="40"/>
      <w:lang w:eastAsia="es-ES" w:val="es"/>
    </w:rPr>
  </w:style>
  <w:style w:type="paragraph" w:styleId="Ttulo2">
    <w:name w:val="heading 2"/>
    <w:basedOn w:val="Normal"/>
    <w:next w:val="Normal"/>
    <w:pPr>
      <w:keepNext w:val="1"/>
      <w:keepLines w:val="1"/>
      <w:spacing w:after="120" w:before="360" w:line="276" w:lineRule="auto"/>
      <w:outlineLvl w:val="1"/>
    </w:pPr>
    <w:rPr>
      <w:rFonts w:ascii="Arial" w:cs="Arial" w:eastAsia="Arial" w:hAnsi="Arial"/>
      <w:sz w:val="32"/>
      <w:szCs w:val="32"/>
      <w:lang w:eastAsia="es-ES" w:val="es"/>
    </w:rPr>
  </w:style>
  <w:style w:type="paragraph" w:styleId="Ttulo3">
    <w:name w:val="heading 3"/>
    <w:basedOn w:val="Normal"/>
    <w:next w:val="Normal"/>
    <w:pPr>
      <w:keepNext w:val="1"/>
      <w:keepLines w:val="1"/>
      <w:spacing w:after="80" w:before="320" w:line="276" w:lineRule="auto"/>
      <w:outlineLvl w:val="2"/>
    </w:pPr>
    <w:rPr>
      <w:rFonts w:ascii="Arial" w:cs="Arial" w:eastAsia="Arial" w:hAnsi="Arial"/>
      <w:color w:val="434343"/>
      <w:sz w:val="28"/>
      <w:szCs w:val="28"/>
      <w:lang w:eastAsia="es-ES" w:val="es"/>
    </w:rPr>
  </w:style>
  <w:style w:type="paragraph" w:styleId="Ttulo4">
    <w:name w:val="heading 4"/>
    <w:basedOn w:val="Normal"/>
    <w:next w:val="Normal"/>
    <w:pPr>
      <w:keepNext w:val="1"/>
      <w:keepLines w:val="1"/>
      <w:spacing w:after="80" w:before="280" w:line="276" w:lineRule="auto"/>
      <w:outlineLvl w:val="3"/>
    </w:pPr>
    <w:rPr>
      <w:rFonts w:ascii="Arial" w:cs="Arial" w:eastAsia="Arial" w:hAnsi="Arial"/>
      <w:color w:val="666666"/>
      <w:lang w:eastAsia="es-ES" w:val="es"/>
    </w:rPr>
  </w:style>
  <w:style w:type="paragraph" w:styleId="Ttulo5">
    <w:name w:val="heading 5"/>
    <w:basedOn w:val="Normal"/>
    <w:next w:val="Normal"/>
    <w:pPr>
      <w:keepNext w:val="1"/>
      <w:keepLines w:val="1"/>
      <w:spacing w:after="80" w:before="240" w:line="276" w:lineRule="auto"/>
      <w:outlineLvl w:val="4"/>
    </w:pPr>
    <w:rPr>
      <w:rFonts w:ascii="Arial" w:cs="Arial" w:eastAsia="Arial" w:hAnsi="Arial"/>
      <w:color w:val="666666"/>
      <w:sz w:val="22"/>
      <w:szCs w:val="22"/>
      <w:lang w:eastAsia="es-ES" w:val="es"/>
    </w:rPr>
  </w:style>
  <w:style w:type="paragraph" w:styleId="Ttulo6">
    <w:name w:val="heading 6"/>
    <w:basedOn w:val="Normal"/>
    <w:next w:val="Normal"/>
    <w:pPr>
      <w:keepNext w:val="1"/>
      <w:keepLines w:val="1"/>
      <w:spacing w:after="80" w:before="240" w:line="276" w:lineRule="auto"/>
      <w:outlineLvl w:val="5"/>
    </w:pPr>
    <w:rPr>
      <w:rFonts w:ascii="Arial" w:cs="Arial" w:eastAsia="Arial" w:hAnsi="Arial"/>
      <w:i w:val="1"/>
      <w:color w:val="666666"/>
      <w:sz w:val="22"/>
      <w:szCs w:val="22"/>
      <w:lang w:eastAsia="es-ES" w:val="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line="276" w:lineRule="auto"/>
    </w:pPr>
    <w:rPr>
      <w:rFonts w:ascii="Arial" w:cs="Arial" w:eastAsia="Arial" w:hAnsi="Arial"/>
      <w:sz w:val="52"/>
      <w:szCs w:val="52"/>
      <w:lang w:eastAsia="es-ES" w:val="es"/>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line="276" w:lineRule="auto"/>
    </w:pPr>
    <w:rPr>
      <w:rFonts w:ascii="Arial" w:cs="Arial" w:eastAsia="Arial" w:hAnsi="Arial"/>
      <w:color w:val="666666"/>
      <w:sz w:val="30"/>
      <w:szCs w:val="30"/>
    </w:rPr>
  </w:style>
  <w:style w:type="paragraph" w:styleId="Prrafodelista">
    <w:name w:val="List Paragraph"/>
    <w:basedOn w:val="Normal"/>
    <w:uiPriority w:val="34"/>
    <w:qFormat w:val="1"/>
    <w:rsid w:val="002E0C9F"/>
    <w:pPr>
      <w:spacing w:line="276" w:lineRule="auto"/>
      <w:ind w:left="720"/>
      <w:contextualSpacing w:val="1"/>
    </w:pPr>
    <w:rPr>
      <w:rFonts w:ascii="Arial" w:cs="Arial" w:eastAsia="Arial" w:hAnsi="Arial"/>
      <w:sz w:val="22"/>
      <w:szCs w:val="22"/>
      <w:lang w:eastAsia="es-ES" w:val="es"/>
    </w:rPr>
  </w:style>
  <w:style w:type="character" w:styleId="Refdecomentario">
    <w:name w:val="annotation reference"/>
    <w:basedOn w:val="Fuentedeprrafopredeter"/>
    <w:uiPriority w:val="99"/>
    <w:semiHidden w:val="1"/>
    <w:unhideWhenUsed w:val="1"/>
    <w:rsid w:val="002E0C9F"/>
    <w:rPr>
      <w:sz w:val="16"/>
      <w:szCs w:val="16"/>
    </w:rPr>
  </w:style>
  <w:style w:type="paragraph" w:styleId="Textocomentario">
    <w:name w:val="annotation text"/>
    <w:basedOn w:val="Normal"/>
    <w:link w:val="TextocomentarioCar"/>
    <w:uiPriority w:val="99"/>
    <w:semiHidden w:val="1"/>
    <w:unhideWhenUsed w:val="1"/>
    <w:rsid w:val="002E0C9F"/>
    <w:rPr>
      <w:rFonts w:ascii="Arial" w:cs="Arial" w:eastAsia="Arial" w:hAnsi="Arial"/>
      <w:sz w:val="20"/>
      <w:szCs w:val="20"/>
      <w:lang w:eastAsia="es-ES" w:val="es"/>
    </w:rPr>
  </w:style>
  <w:style w:type="character" w:styleId="TextocomentarioCar" w:customStyle="1">
    <w:name w:val="Texto comentario Car"/>
    <w:basedOn w:val="Fuentedeprrafopredeter"/>
    <w:link w:val="Textocomentario"/>
    <w:uiPriority w:val="99"/>
    <w:semiHidden w:val="1"/>
    <w:rsid w:val="002E0C9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E0C9F"/>
    <w:rPr>
      <w:b w:val="1"/>
      <w:bCs w:val="1"/>
    </w:rPr>
  </w:style>
  <w:style w:type="character" w:styleId="AsuntodelcomentarioCar" w:customStyle="1">
    <w:name w:val="Asunto del comentario Car"/>
    <w:basedOn w:val="TextocomentarioCar"/>
    <w:link w:val="Asuntodelcomentario"/>
    <w:uiPriority w:val="99"/>
    <w:semiHidden w:val="1"/>
    <w:rsid w:val="002E0C9F"/>
    <w:rPr>
      <w:b w:val="1"/>
      <w:bCs w:val="1"/>
      <w:sz w:val="20"/>
      <w:szCs w:val="20"/>
    </w:rPr>
  </w:style>
  <w:style w:type="paragraph" w:styleId="Textodeglobo">
    <w:name w:val="Balloon Text"/>
    <w:basedOn w:val="Normal"/>
    <w:link w:val="TextodegloboCar"/>
    <w:uiPriority w:val="99"/>
    <w:semiHidden w:val="1"/>
    <w:unhideWhenUsed w:val="1"/>
    <w:rsid w:val="002E0C9F"/>
    <w:rPr>
      <w:rFonts w:ascii="Segoe UI" w:cs="Segoe UI" w:eastAsia="Arial" w:hAnsi="Segoe UI"/>
      <w:sz w:val="18"/>
      <w:szCs w:val="18"/>
      <w:lang w:eastAsia="es-ES" w:val="es"/>
    </w:rPr>
  </w:style>
  <w:style w:type="character" w:styleId="TextodegloboCar" w:customStyle="1">
    <w:name w:val="Texto de globo Car"/>
    <w:basedOn w:val="Fuentedeprrafopredeter"/>
    <w:link w:val="Textodeglobo"/>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pPr>
    <w:rPr>
      <w:lang w:eastAsia="es-ES"/>
    </w:rPr>
  </w:style>
  <w:style w:type="character" w:styleId="Hipervnculo">
    <w:name w:val="Hyperlink"/>
    <w:basedOn w:val="Fuentedeprrafopredeter"/>
    <w:uiPriority w:val="99"/>
    <w:unhideWhenUsed w:val="1"/>
    <w:rsid w:val="00E5096F"/>
    <w:rPr>
      <w:color w:val="0000ff"/>
      <w:u w:val="single"/>
    </w:rPr>
  </w:style>
  <w:style w:type="paragraph" w:styleId="Encabezado">
    <w:name w:val="header"/>
    <w:basedOn w:val="Normal"/>
    <w:link w:val="EncabezadoCar"/>
    <w:uiPriority w:val="99"/>
    <w:unhideWhenUsed w:val="1"/>
    <w:rsid w:val="00C221A0"/>
    <w:pPr>
      <w:tabs>
        <w:tab w:val="center" w:pos="4252"/>
        <w:tab w:val="right" w:pos="8504"/>
      </w:tabs>
    </w:pPr>
    <w:rPr>
      <w:rFonts w:ascii="Arial" w:cs="Arial" w:eastAsia="Arial" w:hAnsi="Arial"/>
      <w:sz w:val="22"/>
      <w:szCs w:val="22"/>
      <w:lang w:eastAsia="es-ES" w:val="es"/>
    </w:rPr>
  </w:style>
  <w:style w:type="character" w:styleId="EncabezadoCar" w:customStyle="1">
    <w:name w:val="Encabezado Car"/>
    <w:basedOn w:val="Fuentedeprrafopredeter"/>
    <w:link w:val="Encabezado"/>
    <w:uiPriority w:val="99"/>
    <w:rsid w:val="00C221A0"/>
  </w:style>
  <w:style w:type="paragraph" w:styleId="Piedepgina">
    <w:name w:val="footer"/>
    <w:basedOn w:val="Normal"/>
    <w:link w:val="PiedepginaCar"/>
    <w:uiPriority w:val="99"/>
    <w:unhideWhenUsed w:val="1"/>
    <w:rsid w:val="00C221A0"/>
    <w:pPr>
      <w:tabs>
        <w:tab w:val="center" w:pos="4252"/>
        <w:tab w:val="right" w:pos="8504"/>
      </w:tabs>
    </w:pPr>
    <w:rPr>
      <w:rFonts w:ascii="Arial" w:cs="Arial" w:eastAsia="Arial" w:hAnsi="Arial"/>
      <w:sz w:val="22"/>
      <w:szCs w:val="22"/>
      <w:lang w:eastAsia="es-ES" w:val="es"/>
    </w:rPr>
  </w:style>
  <w:style w:type="character" w:styleId="PiedepginaCar" w:customStyle="1">
    <w:name w:val="Pie de página Car"/>
    <w:basedOn w:val="Fuentedeprrafopredeter"/>
    <w:link w:val="Piedepgina"/>
    <w:uiPriority w:val="99"/>
    <w:rsid w:val="00C221A0"/>
  </w:style>
  <w:style w:type="table" w:styleId="Tablaconcuadrcula">
    <w:name w:val="Table Grid"/>
    <w:basedOn w:val="Tablanormal"/>
    <w:uiPriority w:val="39"/>
    <w:rsid w:val="00DC65B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Cuadrculadetablaclara">
    <w:name w:val="Grid Table Light"/>
    <w:basedOn w:val="Tablanormal"/>
    <w:uiPriority w:val="40"/>
    <w:rsid w:val="00DC65B6"/>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anormal1">
    <w:name w:val="Plain Table 1"/>
    <w:basedOn w:val="Tablanormal"/>
    <w:uiPriority w:val="41"/>
    <w:rsid w:val="00DC65B6"/>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2">
    <w:name w:val="Plain Table 2"/>
    <w:basedOn w:val="Tablanormal"/>
    <w:uiPriority w:val="42"/>
    <w:rsid w:val="00DC65B6"/>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anormal3">
    <w:name w:val="Plain Table 3"/>
    <w:basedOn w:val="Tablanormal"/>
    <w:uiPriority w:val="43"/>
    <w:rsid w:val="00DC65B6"/>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Tablanormal4">
    <w:name w:val="Plain Table 4"/>
    <w:basedOn w:val="Tablanormal"/>
    <w:uiPriority w:val="44"/>
    <w:rsid w:val="00DC65B6"/>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5">
    <w:name w:val="Plain Table 5"/>
    <w:basedOn w:val="Tablanormal"/>
    <w:uiPriority w:val="45"/>
    <w:rsid w:val="00DC65B6"/>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adecuadrcula1clara">
    <w:name w:val="Grid Table 1 Light"/>
    <w:basedOn w:val="Tablanormal"/>
    <w:uiPriority w:val="46"/>
    <w:rsid w:val="00DC65B6"/>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adecuadrcula1clara-nfasis1">
    <w:name w:val="Grid Table 1 Light Accent 1"/>
    <w:basedOn w:val="Tablanormal"/>
    <w:uiPriority w:val="46"/>
    <w:rsid w:val="00DC65B6"/>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Tabladecuadrcula1clara-nfasis3">
    <w:name w:val="Grid Table 1 Light Accent 3"/>
    <w:basedOn w:val="Tablanormal"/>
    <w:uiPriority w:val="46"/>
    <w:rsid w:val="00DC65B6"/>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character" w:styleId="Hipervnculovisitado">
    <w:name w:val="FollowedHyperlink"/>
    <w:basedOn w:val="Fuentedeprrafopredeter"/>
    <w:uiPriority w:val="99"/>
    <w:semiHidden w:val="1"/>
    <w:unhideWhenUsed w:val="1"/>
    <w:rsid w:val="006C4F12"/>
    <w:rPr>
      <w:color w:val="800080" w:themeColor="followedHyperlink"/>
      <w:u w:val="single"/>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character" w:styleId="Textoennegrita">
    <w:name w:val="Strong"/>
    <w:basedOn w:val="Fuentedeprrafopredeter"/>
    <w:uiPriority w:val="22"/>
    <w:qFormat w:val="1"/>
    <w:rsid w:val="00CD6BEF"/>
    <w:rPr>
      <w:b w:val="1"/>
      <w:bCs w:val="1"/>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06gvMTXlXVE0oKnbASw5QWdqA==">CgMxLjA4AGojChRzdWdnZXN0LjdtMTRidGduMDh6chILUm9zYSBHYXJjaWFqIwoUc3VnZ2VzdC53YW44dnJ4ejcwMXgSC1Jvc2EgR2FyY2lhciExeTFmQUZBVTB2azEzNTYzQWZRLUtlV21tZGViVm05Zkg=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2023-01-11T10:19:00Z</dcterms:created>
  <dc:creator>Malu</dc:creator>
</cp:coreProperties>
</file>