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Facultativa Especialista de Área del Servicio de Cirugía Digestiva del Hospital Universitario Nuestra </w:t>
      </w: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Señora de Candelaria,</w:t>
      </w: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 en Santa Cruz de Tenerife,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doctora Vanessa Concepción Martín, nueva coordinadora de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Oncología Peritoneal (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GECOP) de la AEC</w:t>
      </w:r>
    </w:p>
    <w:p w:rsidR="00000000" w:rsidDel="00000000" w:rsidP="00000000" w:rsidRDefault="00000000" w:rsidRPr="00000000" w14:paraId="00000004">
      <w:pPr>
        <w:spacing w:after="240" w:before="0" w:line="276" w:lineRule="auto"/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Con una trayectoria destacada, la Dra. Concepción Martín impulsa la cirugía esofagogástrica y peritoneal en la AEC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Dra. Concepción Martín impulsa la innovación en cirugía oncológica con protocolos avanzados como el 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342900</wp:posOffset>
            </wp:positionV>
            <wp:extent cx="2391728" cy="2960763"/>
            <wp:effectExtent b="0" l="0" r="0" t="0"/>
            <wp:wrapSquare wrapText="bothSides" distB="114300" distT="114300" distL="114300" distR="114300"/>
            <wp:docPr id="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728" cy="296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11 de febrero de 2025.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doctora Vanessa Concepción Martín, facultativa especialista de área en el servicio de Cirugía Digestiva del Hospital Universitario Nuestra Señora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Candelaria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Santa Cruz de Tenerife, ha sido nombrada nueva jefa de la sección de Cirugía Esofagogástrica y Enfermedad Peritoneal de la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 cargo que resalta su dedicación y compromiso con la especialidad, donde seguirá impulsando la innovación y el desarrollo en cirugía oncológica, con un enfoque en la mejora de la atención a sus pacientes.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Formación académica y especialización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La Dra. Vanessa Concepción Martín se licenció en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edicina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Cirugía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la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Universidad de La Laguna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2000 y completó su especialización en Cirugía General y del Aparato Digestivo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Hospital Universitario Nuestra Señora de Candelaria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donde recibió el 2º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Premio al Mejor Residente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2006. Además, obtuvo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iploma de Estudios Avanzados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el programa de doctorado en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Investigación Biomédica y Técnica Quirúrgica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2007.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 realizado estancias formativas en centros de prestigio como el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Northwestern Hospital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(Unidad de Trasplante, Dr. Abecassis, 2005) y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Norfolk and Norwich University Hospital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(Cirugía Esofagogástrica, Dr. Edward Cheong, 2018).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Trayectoria profesional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La Dra. Concepción Martín desempeña su labor como facultativa especialista de área en el servicio de cirugía digestiva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Hospital Universitario Nuestra Señora de Candelaria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desde 2006. Desde 2017, coordina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Unidad de Cirugía Oncológica Peritoneal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y a partir de 2024, asume el cargo de jefa de la sección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Cirugía Esofagogástrica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Enfermedad Peritoneal.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lo largo de su carrera, ha demostrado un gran compromiso con la cirugía oncológica, especialmente en el tratamiento de la carcinomatosis peritoneal, el esófago y el estómago. Ha participado activamente en la elaboración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Vía Rica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cirugía esofagogástrica y en la implementación del protocolo ERAS tanto para cirugía esofagogástrica como para carcinomatosis peritoneal.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Actividad en sociedades científicas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La Dra. Concepción Martín es miembro de la Asociación Española de Cirujanos, del grupo español de: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Rehabilitación Multimodal (GERM)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Grupo Español de Oncología Peritoneal (GECOP)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Sociedad Española de Oncología Quirúrgica (SEOQ)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European Society of Surgical Oncology (ESSO) 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 participación en estas sociedades refleja su firme compromiso con la mejora de la cirugía oncológica y su constante búsqueda de la excelencia médica en su campo.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Compromiso con la innovación y la excelencia médica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La Dra. Vanessa Concepción Martín ha consolidado su carrera como una referente en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cirugía oncológica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especialmente en el tratamiento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carcinomatosis peritoneal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las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patologías esofagogástricas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Su constante esfuerzo por integrar nuevas técnicas y protocolos, como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ERAS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y su dedicación a la formación y desarrollo de los equipos médicos son muestra de su compromiso con la innovación y la excelencia en la cirugía.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Sobre la Asociación Española de Cirujanos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vertAlign w:val="baseline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vertAlign w:val="baselin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vertAlign w:val="baselin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Actitud de Comunicación 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18"/>
          <w:szCs w:val="18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Teléfono: 91 302 28 60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-274947</wp:posOffset>
          </wp:positionV>
          <wp:extent cx="1831340" cy="74295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mbri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W23lZB07aW+m5IwQhGsppPMdQ==">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2023-01-23T11:30:00Z</dcterms:created>
  <dc:creator>Ana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