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Calibri" w:cs="Calibri" w:eastAsia="Calibri" w:hAnsi="Calibri"/>
          <w:b w:val="1"/>
          <w:i w:val="1"/>
          <w:sz w:val="26"/>
          <w:szCs w:val="26"/>
        </w:rPr>
      </w:pPr>
      <w:bookmarkStart w:colFirst="0" w:colLast="0" w:name="_heading=h.hg4chtkr1sfy" w:id="0"/>
      <w:bookmarkEnd w:id="0"/>
      <w:r w:rsidDel="00000000" w:rsidR="00000000" w:rsidRPr="00000000">
        <w:rPr>
          <w:rFonts w:ascii="Calibri" w:cs="Calibri" w:eastAsia="Calibri" w:hAnsi="Calibri"/>
          <w:b w:val="1"/>
          <w:i w:val="1"/>
          <w:sz w:val="26"/>
          <w:szCs w:val="26"/>
          <w:rtl w:val="0"/>
        </w:rPr>
        <w:t xml:space="preserve">De la mano de la cadena de restauración madrileña, Viena Capellanes</w:t>
      </w:r>
    </w:p>
    <w:p w:rsidR="00000000" w:rsidDel="00000000" w:rsidP="00000000" w:rsidRDefault="00000000" w:rsidRPr="00000000" w14:paraId="00000002">
      <w:pPr>
        <w:spacing w:after="200" w:lineRule="auto"/>
        <w:jc w:val="center"/>
        <w:rPr>
          <w:rFonts w:ascii="Calibri" w:cs="Calibri" w:eastAsia="Calibri" w:hAnsi="Calibri"/>
          <w:b w:val="1"/>
          <w:sz w:val="46"/>
          <w:szCs w:val="46"/>
        </w:rPr>
      </w:pPr>
      <w:bookmarkStart w:colFirst="0" w:colLast="0" w:name="_heading=h.gjdgxs" w:id="1"/>
      <w:bookmarkEnd w:id="1"/>
      <w:r w:rsidDel="00000000" w:rsidR="00000000" w:rsidRPr="00000000">
        <w:rPr>
          <w:rFonts w:ascii="Calibri" w:cs="Calibri" w:eastAsia="Calibri" w:hAnsi="Calibri"/>
          <w:b w:val="1"/>
          <w:sz w:val="46"/>
          <w:szCs w:val="46"/>
          <w:rtl w:val="0"/>
        </w:rPr>
        <w:t xml:space="preserve">Los imprescindibles para sobrevivir a la final de la</w:t>
      </w:r>
      <w:r w:rsidDel="00000000" w:rsidR="00000000" w:rsidRPr="00000000">
        <w:rPr>
          <w:rFonts w:ascii="Calibri" w:cs="Calibri" w:eastAsia="Calibri" w:hAnsi="Calibri"/>
          <w:b w:val="1"/>
          <w:sz w:val="46"/>
          <w:szCs w:val="46"/>
          <w:rtl w:val="0"/>
        </w:rPr>
        <w:t xml:space="preserve"> Champions sin moverte de casa</w:t>
      </w:r>
    </w:p>
    <w:p w:rsidR="00000000" w:rsidDel="00000000" w:rsidP="00000000" w:rsidRDefault="00000000" w:rsidRPr="00000000" w14:paraId="00000003">
      <w:pPr>
        <w:numPr>
          <w:ilvl w:val="0"/>
          <w:numId w:val="1"/>
        </w:numPr>
        <w:spacing w:after="20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cadena de restauración lanza una nueva línea de productos “catering box” con los que disfrutar de un catering más sencillo e informal, ideal para meriendas en casa</w:t>
      </w:r>
    </w:p>
    <w:p w:rsidR="00000000" w:rsidDel="00000000" w:rsidP="00000000" w:rsidRDefault="00000000" w:rsidRPr="00000000" w14:paraId="00000004">
      <w:pPr>
        <w:numPr>
          <w:ilvl w:val="0"/>
          <w:numId w:val="1"/>
        </w:numPr>
        <w:spacing w:after="20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Estos packs estarán disponibles para amenizar todos los eventos deportivos de este año con un picoteo</w:t>
      </w:r>
    </w:p>
    <w:p w:rsidR="00000000" w:rsidDel="00000000" w:rsidP="00000000" w:rsidRDefault="00000000" w:rsidRPr="00000000" w14:paraId="00000005">
      <w:pPr>
        <w:numPr>
          <w:ilvl w:val="0"/>
          <w:numId w:val="1"/>
        </w:numPr>
        <w:spacing w:after="20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 Campeón Box y el Sport Box incluyen distintas variedades </w:t>
      </w:r>
      <w:r w:rsidDel="00000000" w:rsidR="00000000" w:rsidRPr="00000000">
        <w:rPr>
          <w:rFonts w:ascii="Calibri" w:cs="Calibri" w:eastAsia="Calibri" w:hAnsi="Calibri"/>
          <w:b w:val="1"/>
          <w:sz w:val="24"/>
          <w:szCs w:val="24"/>
          <w:highlight w:val="white"/>
          <w:rtl w:val="0"/>
        </w:rPr>
        <w:t xml:space="preserve">de sándwiches, una torta de aranda rellena y diferentes aperitivos </w:t>
      </w:r>
    </w:p>
    <w:p w:rsidR="00000000" w:rsidDel="00000000" w:rsidP="00000000" w:rsidRDefault="00000000" w:rsidRPr="00000000" w14:paraId="00000006">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29 de mayo de 2024.-</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Estadio de Wembley, Londres, 1 de junio. El Real Madrid, </w:t>
      </w:r>
      <w:r w:rsidDel="00000000" w:rsidR="00000000" w:rsidRPr="00000000">
        <w:rPr>
          <w:rFonts w:ascii="Calibri" w:cs="Calibri" w:eastAsia="Calibri" w:hAnsi="Calibri"/>
          <w:sz w:val="24"/>
          <w:szCs w:val="24"/>
          <w:rtl w:val="0"/>
        </w:rPr>
        <w:t xml:space="preserve">equipo</w:t>
      </w:r>
      <w:r w:rsidDel="00000000" w:rsidR="00000000" w:rsidRPr="00000000">
        <w:rPr>
          <w:rFonts w:ascii="Calibri" w:cs="Calibri" w:eastAsia="Calibri" w:hAnsi="Calibri"/>
          <w:sz w:val="24"/>
          <w:szCs w:val="24"/>
          <w:rtl w:val="0"/>
        </w:rPr>
        <w:t xml:space="preserve"> 14 veces campeón de la UEFA Champions League, se enfrentará al Borussia Dortmund. Un día muy esperado por el equipo y más aún por los aficionados madridistas que esperan emocionados conseguir el decimoquinto título del club merengue. </w:t>
      </w:r>
    </w:p>
    <w:p w:rsidR="00000000" w:rsidDel="00000000" w:rsidP="00000000" w:rsidRDefault="00000000" w:rsidRPr="00000000" w14:paraId="00000007">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Aficionados y no tan aficionados disfrutan de este evento y del ambiente que se genera con este tipo de acontecimientos, y organizan distintos planes para ver el partido. Una de las opciones es convertir la casa en el mejor estadio, lo que permitirá vivir la emoción del fútbol con todas las comodidades y ventajas de estar en tu propio espacio. Por supuesto, los aperitivos son algo que no pueden faltar; por ello, la cadena de restauración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ha lanzado nuevos packs a su línea de “catering box”. </w:t>
      </w:r>
    </w:p>
    <w:p w:rsidR="00000000" w:rsidDel="00000000" w:rsidP="00000000" w:rsidRDefault="00000000" w:rsidRPr="00000000" w14:paraId="00000008">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idea de esta línea de productos es ofrecer un servicio de catering y delivery más informal,  ideal para disfrutar de una merienda en los eventos caseros. </w:t>
      </w:r>
    </w:p>
    <w:p w:rsidR="00000000" w:rsidDel="00000000" w:rsidP="00000000" w:rsidRDefault="00000000" w:rsidRPr="00000000" w14:paraId="00000009">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w:t>
      </w:r>
      <w:r w:rsidDel="00000000" w:rsidR="00000000" w:rsidRPr="00000000">
        <w:rPr>
          <w:rFonts w:ascii="Calibri" w:cs="Calibri" w:eastAsia="Calibri" w:hAnsi="Calibri"/>
          <w:b w:val="1"/>
          <w:sz w:val="24"/>
          <w:szCs w:val="24"/>
          <w:rtl w:val="0"/>
        </w:rPr>
        <w:t xml:space="preserve">Campeón Box </w:t>
      </w:r>
      <w:r w:rsidDel="00000000" w:rsidR="00000000" w:rsidRPr="00000000">
        <w:rPr>
          <w:rFonts w:ascii="Calibri" w:cs="Calibri" w:eastAsia="Calibri" w:hAnsi="Calibri"/>
          <w:sz w:val="24"/>
          <w:szCs w:val="24"/>
          <w:rtl w:val="0"/>
        </w:rPr>
        <w:t xml:space="preserve">es una de las nuevas opciones de Viena Capellanes. En ella, los forofos del fútbol podrán encontrar cuatro variedades de los famosos sándwiches de Viena Capellanes; una torta de aranda triple con mortadela trufada de Bolonia y pesto; y como </w:t>
      </w:r>
      <w:r w:rsidDel="00000000" w:rsidR="00000000" w:rsidRPr="00000000">
        <w:rPr>
          <w:rFonts w:ascii="Calibri" w:cs="Calibri" w:eastAsia="Calibri" w:hAnsi="Calibri"/>
          <w:i w:val="1"/>
          <w:sz w:val="24"/>
          <w:szCs w:val="24"/>
          <w:rtl w:val="0"/>
        </w:rPr>
        <w:t xml:space="preserve">dipear</w:t>
      </w:r>
      <w:r w:rsidDel="00000000" w:rsidR="00000000" w:rsidRPr="00000000">
        <w:rPr>
          <w:rFonts w:ascii="Calibri" w:cs="Calibri" w:eastAsia="Calibri" w:hAnsi="Calibri"/>
          <w:sz w:val="24"/>
          <w:szCs w:val="24"/>
          <w:rtl w:val="0"/>
        </w:rPr>
        <w:t xml:space="preserve"> es imprescindible, dos cajitas con delicias de pollo cajún y espetos de pollo marinado, acompañados con salsa mayonesa y barbacoa. </w:t>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2476500</wp:posOffset>
            </wp:positionV>
            <wp:extent cx="3500438" cy="1953502"/>
            <wp:effectExtent b="0" l="0" r="0" t="0"/>
            <wp:wrapSquare wrapText="bothSides" distB="114300" distT="114300" distL="114300" distR="114300"/>
            <wp:docPr id="50" name="image2.jpg"/>
            <a:graphic>
              <a:graphicData uri="http://schemas.openxmlformats.org/drawingml/2006/picture">
                <pic:pic>
                  <pic:nvPicPr>
                    <pic:cNvPr id="0" name="image2.jpg"/>
                    <pic:cNvPicPr preferRelativeResize="0"/>
                  </pic:nvPicPr>
                  <pic:blipFill>
                    <a:blip r:embed="rId8"/>
                    <a:srcRect b="9975" l="6146" r="6644" t="16708"/>
                    <a:stretch>
                      <a:fillRect/>
                    </a:stretch>
                  </pic:blipFill>
                  <pic:spPr>
                    <a:xfrm>
                      <a:off x="0" y="0"/>
                      <a:ext cx="3500438" cy="19535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142875</wp:posOffset>
            </wp:positionV>
            <wp:extent cx="3505200" cy="2064287"/>
            <wp:effectExtent b="0" l="0" r="0" t="0"/>
            <wp:wrapSquare wrapText="bothSides" distB="114300" distT="114300" distL="114300" distR="114300"/>
            <wp:docPr id="48" name="image3.jpg"/>
            <a:graphic>
              <a:graphicData uri="http://schemas.openxmlformats.org/drawingml/2006/picture">
                <pic:pic>
                  <pic:nvPicPr>
                    <pic:cNvPr id="0" name="image3.jpg"/>
                    <pic:cNvPicPr preferRelativeResize="0"/>
                  </pic:nvPicPr>
                  <pic:blipFill>
                    <a:blip r:embed="rId9"/>
                    <a:srcRect b="4869" l="5647" r="5315" t="16320"/>
                    <a:stretch>
                      <a:fillRect/>
                    </a:stretch>
                  </pic:blipFill>
                  <pic:spPr>
                    <a:xfrm>
                      <a:off x="0" y="0"/>
                      <a:ext cx="3505200" cy="2064287"/>
                    </a:xfrm>
                    <a:prstGeom prst="rect"/>
                    <a:ln/>
                  </pic:spPr>
                </pic:pic>
              </a:graphicData>
            </a:graphic>
          </wp:anchor>
        </w:drawing>
      </w:r>
    </w:p>
    <w:p w:rsidR="00000000" w:rsidDel="00000000" w:rsidP="00000000" w:rsidRDefault="00000000" w:rsidRPr="00000000" w14:paraId="0000000A">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w:t>
      </w:r>
      <w:r w:rsidDel="00000000" w:rsidR="00000000" w:rsidRPr="00000000">
        <w:rPr>
          <w:rFonts w:ascii="Calibri" w:cs="Calibri" w:eastAsia="Calibri" w:hAnsi="Calibri"/>
          <w:b w:val="1"/>
          <w:sz w:val="24"/>
          <w:szCs w:val="24"/>
          <w:rtl w:val="0"/>
        </w:rPr>
        <w:t xml:space="preserve">Sport Box</w:t>
      </w:r>
      <w:r w:rsidDel="00000000" w:rsidR="00000000" w:rsidRPr="00000000">
        <w:rPr>
          <w:rFonts w:ascii="Calibri" w:cs="Calibri" w:eastAsia="Calibri" w:hAnsi="Calibri"/>
          <w:sz w:val="24"/>
          <w:szCs w:val="24"/>
          <w:rtl w:val="0"/>
        </w:rPr>
        <w:t xml:space="preserve"> contiene 10 variedades distintas de sándwiches; una torta de aranda tumaca con jamón curado y queso de oveja y una caja con patatas fritas. </w:t>
      </w:r>
    </w:p>
    <w:p w:rsidR="00000000" w:rsidDel="00000000" w:rsidP="00000000" w:rsidRDefault="00000000" w:rsidRPr="00000000" w14:paraId="0000000B">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supuesto, aunque este lanzamiento coincide con el primer evento deportivo grande del año, estos packs están enfocados al resto de competiciones del año -Eurocopa, Juegos Olímpicos, etc.-. Cada box se puede encargar a través de la web o en alguna de las 26 tiendas que la cadena tiene en Madrid, y recibirlo en casa o recogerlo en la misma tienda, para que el cliente solamente tenga que disfrutar con amigos y familia de la emocionante final. </w:t>
      </w:r>
    </w:p>
    <w:p w:rsidR="00000000" w:rsidDel="00000000" w:rsidP="00000000" w:rsidRDefault="00000000" w:rsidRPr="00000000" w14:paraId="0000000C">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0D">
      <w:pPr>
        <w:widowControl w:val="0"/>
        <w:spacing w:line="240" w:lineRule="auto"/>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0E">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0F">
      <w:pPr>
        <w:widowControl w:val="0"/>
        <w:spacing w:line="240" w:lineRule="auto"/>
        <w:ind w:right="116"/>
        <w:jc w:val="both"/>
        <w:rPr>
          <w:rFonts w:ascii="Calibri" w:cs="Calibri" w:eastAsia="Calibri" w:hAnsi="Calibri"/>
          <w:color w:val="211e1f"/>
          <w:sz w:val="20"/>
          <w:szCs w:val="20"/>
        </w:rPr>
      </w:pPr>
      <w:bookmarkStart w:colFirst="0" w:colLast="0" w:name="_heading=h.30j0zll" w:id="2"/>
      <w:bookmarkEnd w:id="2"/>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 </w:t>
      </w:r>
      <w:r w:rsidDel="00000000" w:rsidR="00000000" w:rsidRPr="00000000">
        <w:rPr>
          <w:rFonts w:ascii="Calibri" w:cs="Calibri" w:eastAsia="Calibri" w:hAnsi="Calibri"/>
          <w:color w:val="211e1f"/>
          <w:sz w:val="20"/>
          <w:szCs w:val="20"/>
          <w:rtl w:val="0"/>
        </w:rPr>
        <w:t xml:space="preserve"> </w:t>
      </w:r>
      <w:r w:rsidDel="00000000" w:rsidR="00000000" w:rsidRPr="00000000">
        <w:rPr>
          <w:rFonts w:ascii="Calibri" w:cs="Calibri" w:eastAsia="Calibri" w:hAnsi="Calibri"/>
          <w:color w:val="1155cc"/>
          <w:sz w:val="20"/>
          <w:szCs w:val="20"/>
          <w:u w:val="single"/>
          <w:rtl w:val="0"/>
        </w:rPr>
        <w:t xml:space="preserve">“My Viena”</w:t>
      </w:r>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0">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1">
      <w:pPr>
        <w:widowControl w:val="0"/>
        <w:spacing w:after="200" w:line="240" w:lineRule="auto"/>
        <w:ind w:right="117"/>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2">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3">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4">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5">
      <w:pPr>
        <w:widowControl w:val="0"/>
        <w:spacing w:line="240" w:lineRule="auto"/>
        <w:ind w:right="2898"/>
        <w:jc w:val="both"/>
        <w:rPr>
          <w:rFonts w:ascii="Calibri" w:cs="Calibri" w:eastAsia="Calibri" w:hAnsi="Calibri"/>
        </w:rPr>
      </w:pPr>
      <w:hyperlink r:id="rId10">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1">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widowControl w:val="0"/>
        <w:spacing w:line="273" w:lineRule="auto"/>
        <w:jc w:val="both"/>
        <w:rPr>
          <w:rFonts w:ascii="Calibri" w:cs="Calibri" w:eastAsia="Calibri" w:hAnsi="Calibri"/>
          <w:color w:val="211e1f"/>
        </w:rPr>
      </w:pPr>
      <w:bookmarkStart w:colFirst="0" w:colLast="0" w:name="_heading=h.1fob9te" w:id="3"/>
      <w:bookmarkEnd w:id="3"/>
      <w:r w:rsidDel="00000000" w:rsidR="00000000" w:rsidRPr="00000000">
        <w:rPr>
          <w:rFonts w:ascii="Calibri" w:cs="Calibri" w:eastAsia="Calibri" w:hAnsi="Calibri"/>
          <w:color w:val="211e1f"/>
          <w:rtl w:val="0"/>
        </w:rPr>
        <w:t xml:space="preserve">91 302 28 60</w:t>
      </w:r>
    </w:p>
    <w:p w:rsidR="00000000" w:rsidDel="00000000" w:rsidP="00000000" w:rsidRDefault="00000000" w:rsidRPr="00000000" w14:paraId="00000017">
      <w:pPr>
        <w:widowControl w:val="0"/>
        <w:spacing w:line="273" w:lineRule="auto"/>
        <w:jc w:val="both"/>
        <w:rPr>
          <w:rFonts w:ascii="Calibri" w:cs="Calibri" w:eastAsia="Calibri" w:hAnsi="Calibri"/>
          <w:color w:val="211e1f"/>
        </w:rPr>
      </w:pPr>
      <w:r w:rsidDel="00000000" w:rsidR="00000000" w:rsidRPr="00000000">
        <w:rPr>
          <w:rtl w:val="0"/>
        </w:rPr>
      </w:r>
    </w:p>
    <w:p w:rsidR="00000000" w:rsidDel="00000000" w:rsidP="00000000" w:rsidRDefault="00000000" w:rsidRPr="00000000" w14:paraId="00000018">
      <w:pPr>
        <w:widowControl w:val="0"/>
        <w:spacing w:line="273" w:lineRule="auto"/>
        <w:jc w:val="both"/>
        <w:rPr>
          <w:rFonts w:ascii="Calibri" w:cs="Calibri" w:eastAsia="Calibri" w:hAnsi="Calibri"/>
          <w:color w:val="211e1f"/>
        </w:rPr>
      </w:pPr>
      <w:r w:rsidDel="00000000" w:rsidR="00000000" w:rsidRPr="00000000">
        <w:rPr>
          <w:rtl w:val="0"/>
        </w:rPr>
      </w:r>
    </w:p>
    <w:sectPr>
      <w:headerReference r:id="rId12" w:type="default"/>
      <w:pgSz w:h="16834" w:w="11909" w:orient="portrait"/>
      <w:pgMar w:bottom="8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rPr/>
    </w:pPr>
    <w:r w:rsidDel="00000000" w:rsidR="00000000" w:rsidRPr="00000000">
      <w:rPr/>
      <w:drawing>
        <wp:anchor allowOverlap="1" behindDoc="1" distB="0" distT="0" distL="0" distR="0" hidden="0" layoutInCell="1" locked="0" relativeHeight="0" simplePos="0">
          <wp:simplePos x="0" y="0"/>
          <wp:positionH relativeFrom="margin">
            <wp:posOffset>5038734</wp:posOffset>
          </wp:positionH>
          <wp:positionV relativeFrom="page">
            <wp:posOffset>190500</wp:posOffset>
          </wp:positionV>
          <wp:extent cx="1357310" cy="552978"/>
          <wp:effectExtent b="0" l="0" r="0" t="0"/>
          <wp:wrapNone/>
          <wp:docPr id="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viena.capellanes@actitud.es" TargetMode="External"/><Relationship Id="rId10" Type="http://schemas.openxmlformats.org/officeDocument/2006/relationships/hyperlink" Target="mailto:mirella.palafox@actitud.es" TargetMode="External"/><Relationship Id="rId12"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RIfL1dqh+mnBH8s+cgSsRqjEKw==">CgMxLjAyDmguaGc0Y2h0a3Ixc2Z5MghoLmdqZGd4czIJaC4zMGowemxsMgloLjFmb2I5dGU4AHIhMW9LWnd3N3k5b290NmRpczBJRGdKdGVnMTYybGw3d3Zn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2024-05-16T15:57:00Z</dcterms:created>
  <dc:creator>Ricardo Lence Moreno</dc:creator>
</cp:coreProperties>
</file>