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0" w:line="240" w:lineRule="auto"/>
        <w:rPr>
          <w:rFonts w:ascii="Calibri" w:cs="Calibri" w:eastAsia="Calibri" w:hAnsi="Calibri"/>
          <w:i w:val="1"/>
          <w:iCs w:val="1"/>
        </w:rPr>
      </w:pPr>
      <w:r w:rsidDel="00000000" w:rsidR="00000000" w:rsidRPr="00000000">
        <w:rPr>
          <w:rFonts w:ascii="Calibri" w:cs="Calibri" w:eastAsia="Calibri" w:hAnsi="Calibri"/>
          <w:i w:val="1"/>
          <w:iCs w:val="1"/>
          <w:rtl w:val="0"/>
        </w:rPr>
        <w:t xml:space="preserve">Este año conmemora, además, su centenario, hito que se ha reflejado a lo largo de todo el documento </w:t>
      </w:r>
    </w:p>
    <w:p w:rsidR="00000000" w:rsidDel="00000000" w:rsidP="00000000" w:rsidRDefault="00000000" w:rsidRPr="00000000" w14:paraId="00000002">
      <w:pPr>
        <w:spacing w:after="0" w:line="240" w:lineRule="auto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after="0" w:line="240" w:lineRule="auto"/>
        <w:jc w:val="center"/>
        <w:rPr>
          <w:rFonts w:ascii="Calibri" w:cs="Calibri" w:eastAsia="Calibri" w:hAnsi="Calibri"/>
          <w:b w:val="1"/>
          <w:bCs w:val="1"/>
          <w:i w:val="1"/>
          <w:iCs w:val="1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sz w:val="36"/>
          <w:szCs w:val="36"/>
          <w:rtl w:val="0"/>
        </w:rPr>
        <w:t xml:space="preserve">La Asociación Metalgráfica Española (AME) publica su Memoria Corporativa 2025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numPr>
          <w:ilvl w:val="0"/>
          <w:numId w:val="1"/>
        </w:numPr>
        <w:spacing w:after="160" w:before="200" w:lineRule="auto"/>
        <w:ind w:left="283.46456692913375" w:right="16.062992125985716" w:hanging="360"/>
        <w:jc w:val="both"/>
        <w:rPr>
          <w:rFonts w:ascii="Calibri" w:cs="Calibri" w:eastAsia="Calibri" w:hAnsi="Calibri"/>
          <w:b w:val="1"/>
          <w:bCs w:val="1"/>
          <w:i w:val="1"/>
          <w:iCs w:val="1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i w:val="1"/>
          <w:iCs w:val="1"/>
          <w:rtl w:val="0"/>
        </w:rPr>
        <w:t xml:space="preserve">El informe recoge, entre otros asuntos, el trabajo de asesoramiento desarrollado por la asociación ante los nuevos retos regulatorios europeos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numPr>
          <w:ilvl w:val="0"/>
          <w:numId w:val="1"/>
        </w:numPr>
        <w:spacing w:after="160" w:before="200" w:lineRule="auto"/>
        <w:ind w:left="283.46456692913375" w:right="16.062992125985716" w:hanging="360"/>
        <w:jc w:val="both"/>
        <w:rPr>
          <w:rFonts w:ascii="Calibri" w:cs="Calibri" w:eastAsia="Calibri" w:hAnsi="Calibri"/>
          <w:b w:val="1"/>
          <w:bCs w:val="1"/>
          <w:i w:val="1"/>
          <w:iCs w:val="1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i w:val="1"/>
          <w:iCs w:val="1"/>
          <w:rtl w:val="0"/>
        </w:rPr>
        <w:t xml:space="preserve">Destaca, además, que los envases de acero y aluminio ya cumplen desde 2021 los objetivos europeos de reciclado fijados para 2025</w:t>
      </w:r>
    </w:p>
    <w:p w:rsidR="00000000" w:rsidDel="00000000" w:rsidP="00000000" w:rsidRDefault="00000000" w:rsidRPr="00000000" w14:paraId="0000000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60" w:before="200" w:lineRule="auto"/>
        <w:jc w:val="center"/>
        <w:rPr>
          <w:rFonts w:ascii="Calibri" w:cs="Calibri" w:eastAsia="Calibri" w:hAnsi="Calibri"/>
          <w:b w:val="1"/>
          <w:bCs w:val="1"/>
          <w:sz w:val="18"/>
          <w:szCs w:val="18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i w:val="1"/>
          <w:iCs w:val="1"/>
        </w:rPr>
        <w:drawing>
          <wp:inline distB="114300" distT="114300" distL="114300" distR="114300">
            <wp:extent cx="3486150" cy="2108798"/>
            <wp:effectExtent b="0" l="0" r="0" t="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9033" l="0" r="0" t="5629"/>
                    <a:stretch>
                      <a:fillRect/>
                    </a:stretch>
                  </pic:blipFill>
                  <pic:spPr>
                    <a:xfrm>
                      <a:off x="0" y="0"/>
                      <a:ext cx="3486150" cy="210879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after="0" w:line="240" w:lineRule="auto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rtl w:val="0"/>
        </w:rPr>
        <w:t xml:space="preserve">Madrid, 16 de junio de 2026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.- La </w:t>
      </w:r>
      <w:hyperlink r:id="rId8">
        <w:r w:rsidDel="00000000" w:rsidR="00000000" w:rsidRPr="00000000">
          <w:rPr>
            <w:rFonts w:ascii="Calibri" w:cs="Calibri" w:eastAsia="Calibri" w:hAnsi="Calibri"/>
            <w:b w:val="1"/>
            <w:bCs w:val="1"/>
            <w:color w:val="1155cc"/>
            <w:u w:val="single"/>
            <w:rtl w:val="0"/>
          </w:rPr>
          <w:t xml:space="preserve">Asociación Metalgráfica Española</w:t>
        </w:r>
      </w:hyperlink>
      <w:r w:rsidDel="00000000" w:rsidR="00000000" w:rsidRPr="00000000">
        <w:rPr>
          <w:rFonts w:ascii="Calibri" w:cs="Calibri" w:eastAsia="Calibri" w:hAnsi="Calibri"/>
          <w:rtl w:val="0"/>
        </w:rPr>
        <w:t xml:space="preserve"> (AME) ha publicado su </w:t>
      </w:r>
      <w:r w:rsidDel="00000000" w:rsidR="00000000" w:rsidRPr="00000000">
        <w:rPr>
          <w:rFonts w:ascii="Calibri" w:cs="Calibri" w:eastAsia="Calibri" w:hAnsi="Calibri"/>
          <w:b w:val="1"/>
          <w:bCs w:val="1"/>
          <w:rtl w:val="0"/>
        </w:rPr>
        <w:t xml:space="preserve">Memoria Corporativa 2025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, un documento que recoge la actividad desarrollada durante el último ejercicio y que, además, incorpora un apartado especial con motivo de la celebración de su centenario en 2026. </w:t>
      </w:r>
    </w:p>
    <w:p w:rsidR="00000000" w:rsidDel="00000000" w:rsidP="00000000" w:rsidRDefault="00000000" w:rsidRPr="00000000" w14:paraId="00000008">
      <w:pPr>
        <w:spacing w:after="0" w:line="240" w:lineRule="auto"/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after="0" w:line="240" w:lineRule="auto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Asimismo, la publicación 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realiza un recorrido </w:t>
      </w:r>
      <w:r w:rsidDel="00000000" w:rsidR="00000000" w:rsidRPr="00000000">
        <w:rPr>
          <w:rFonts w:ascii="Calibri" w:cs="Calibri" w:eastAsia="Calibri" w:hAnsi="Calibri"/>
          <w:b w:val="1"/>
          <w:bCs w:val="1"/>
          <w:rtl w:val="0"/>
        </w:rPr>
        <w:t xml:space="preserve">por los cien años de historia de AME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, una de las organizaciones industriales más antiguas de España, y pone en valor tanto la trayectoria de la asociación como la contribución del sector metalgráfico al desarrollo industrial del país</w:t>
      </w:r>
      <w:r w:rsidDel="00000000" w:rsidR="00000000" w:rsidRPr="00000000">
        <w:rPr>
          <w:rFonts w:ascii="Calibri" w:cs="Calibri" w:eastAsia="Calibri" w:hAnsi="Calibri"/>
          <w:b w:val="1"/>
          <w:bCs w:val="1"/>
          <w:rtl w:val="0"/>
        </w:rPr>
        <w:t xml:space="preserve">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after="0" w:line="240" w:lineRule="auto"/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after="0" w:line="240" w:lineRule="auto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En palabras de </w:t>
      </w:r>
      <w:r w:rsidDel="00000000" w:rsidR="00000000" w:rsidRPr="00000000">
        <w:rPr>
          <w:rFonts w:ascii="Calibri" w:cs="Calibri" w:eastAsia="Calibri" w:hAnsi="Calibri"/>
          <w:b w:val="1"/>
          <w:bCs w:val="1"/>
          <w:rtl w:val="0"/>
        </w:rPr>
        <w:t xml:space="preserve">Rafael Sanz Touzón, presidente de AME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, </w:t>
      </w:r>
      <w:r w:rsidDel="00000000" w:rsidR="00000000" w:rsidRPr="00000000">
        <w:rPr>
          <w:rFonts w:ascii="Calibri" w:cs="Calibri" w:eastAsia="Calibri" w:hAnsi="Calibri"/>
          <w:i w:val="1"/>
          <w:iCs w:val="1"/>
          <w:rtl w:val="0"/>
        </w:rPr>
        <w:t xml:space="preserve">“esta es una oportunidad para reconocer la trayectoria de una organización fundada en 1926 y considerada como una de las más antiguas de España. Este centenario no solo celebra u</w:t>
      </w:r>
      <w:r w:rsidDel="00000000" w:rsidR="00000000" w:rsidRPr="00000000">
        <w:rPr>
          <w:rFonts w:ascii="Calibri" w:cs="Calibri" w:eastAsia="Calibri" w:hAnsi="Calibri"/>
          <w:b w:val="1"/>
          <w:bCs w:val="1"/>
          <w:i w:val="1"/>
          <w:iCs w:val="1"/>
          <w:rtl w:val="0"/>
        </w:rPr>
        <w:t xml:space="preserve">n siglo de historia compartida</w:t>
      </w:r>
      <w:r w:rsidDel="00000000" w:rsidR="00000000" w:rsidRPr="00000000">
        <w:rPr>
          <w:rFonts w:ascii="Calibri" w:cs="Calibri" w:eastAsia="Calibri" w:hAnsi="Calibri"/>
          <w:i w:val="1"/>
          <w:iCs w:val="1"/>
          <w:rtl w:val="0"/>
        </w:rPr>
        <w:t xml:space="preserve">, sino que reafirma el compromiso del sector con el futuro, la innovación y la sostenibilidad”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.</w:t>
      </w:r>
    </w:p>
    <w:p w:rsidR="00000000" w:rsidDel="00000000" w:rsidP="00000000" w:rsidRDefault="00000000" w:rsidRPr="00000000" w14:paraId="0000000C">
      <w:pPr>
        <w:spacing w:after="0" w:line="240" w:lineRule="auto"/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after="0" w:line="240" w:lineRule="auto"/>
        <w:jc w:val="both"/>
        <w:rPr>
          <w:rFonts w:ascii="Calibri" w:cs="Calibri" w:eastAsia="Calibri" w:hAnsi="Calibri"/>
          <w:i w:val="1"/>
          <w:iCs w:val="1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rtl w:val="0"/>
        </w:rPr>
        <w:t xml:space="preserve">Yolanda Sanz, directora de la asociación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, destaca que </w:t>
      </w:r>
      <w:r w:rsidDel="00000000" w:rsidR="00000000" w:rsidRPr="00000000">
        <w:rPr>
          <w:rFonts w:ascii="Calibri" w:cs="Calibri" w:eastAsia="Calibri" w:hAnsi="Calibri"/>
          <w:i w:val="1"/>
          <w:iCs w:val="1"/>
          <w:rtl w:val="0"/>
        </w:rPr>
        <w:t xml:space="preserve">“durante 2025 se ha intensificado nuestro trabajo para acompañar a las empresas en un </w:t>
      </w:r>
      <w:r w:rsidDel="00000000" w:rsidR="00000000" w:rsidRPr="00000000">
        <w:rPr>
          <w:rFonts w:ascii="Calibri" w:cs="Calibri" w:eastAsia="Calibri" w:hAnsi="Calibri"/>
          <w:b w:val="1"/>
          <w:bCs w:val="1"/>
          <w:i w:val="1"/>
          <w:iCs w:val="1"/>
          <w:rtl w:val="0"/>
        </w:rPr>
        <w:t xml:space="preserve">contexto normativo especialmente exigente</w:t>
      </w:r>
      <w:r w:rsidDel="00000000" w:rsidR="00000000" w:rsidRPr="00000000">
        <w:rPr>
          <w:rFonts w:ascii="Calibri" w:cs="Calibri" w:eastAsia="Calibri" w:hAnsi="Calibri"/>
          <w:i w:val="1"/>
          <w:iCs w:val="1"/>
          <w:rtl w:val="0"/>
        </w:rPr>
        <w:t xml:space="preserve">. La adaptación a las nuevas regulaciones europeas sobre envases, cierres metálicos y residuos requiere información rigurosa, coordinación sectorial y una interlocución constante con las administraciones, ámbitos en los que AME continúa aportando valor a sus asociados”. “En definitiva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-conitnua la directora de la Asociación-</w:t>
      </w:r>
      <w:r w:rsidDel="00000000" w:rsidR="00000000" w:rsidRPr="00000000">
        <w:rPr>
          <w:rFonts w:ascii="Calibri" w:cs="Calibri" w:eastAsia="Calibri" w:hAnsi="Calibri"/>
          <w:i w:val="1"/>
          <w:iCs w:val="1"/>
          <w:rtl w:val="0"/>
        </w:rPr>
        <w:t xml:space="preserve"> esta memoria es un reflejo del esfuerzo colectivo y una muestra del compromiso con los próximos 100 años”.</w:t>
      </w:r>
    </w:p>
    <w:p w:rsidR="00000000" w:rsidDel="00000000" w:rsidP="00000000" w:rsidRDefault="00000000" w:rsidRPr="00000000" w14:paraId="0000000E">
      <w:pPr>
        <w:spacing w:after="0" w:line="240" w:lineRule="auto"/>
        <w:jc w:val="both"/>
        <w:rPr>
          <w:rFonts w:ascii="Calibri" w:cs="Calibri" w:eastAsia="Calibri" w:hAnsi="Calibri"/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after="0" w:line="240" w:lineRule="auto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En esta Memoria, especial por coincidir con el centenario, también ha aportado sus declaraciones el </w:t>
      </w:r>
      <w:r w:rsidDel="00000000" w:rsidR="00000000" w:rsidRPr="00000000">
        <w:rPr>
          <w:rFonts w:ascii="Calibri" w:cs="Calibri" w:eastAsia="Calibri" w:hAnsi="Calibri"/>
          <w:b w:val="1"/>
          <w:bCs w:val="1"/>
          <w:rtl w:val="0"/>
        </w:rPr>
        <w:t xml:space="preserve">director de CONFEMETAL, José Miguel Guerrero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, para quien “el futuro del sector del metal pasa por la formación como factor diferenciador que garantice nuestra competitividad”.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pStyle w:val="Heading3"/>
        <w:keepNext w:val="0"/>
        <w:keepLines w:val="0"/>
        <w:spacing w:line="240" w:lineRule="auto"/>
        <w:jc w:val="both"/>
        <w:rPr>
          <w:rFonts w:ascii="Calibri" w:cs="Calibri" w:eastAsia="Calibri" w:hAnsi="Calibri"/>
          <w:sz w:val="26"/>
          <w:szCs w:val="26"/>
        </w:rPr>
      </w:pPr>
      <w:bookmarkStart w:colFirst="0" w:colLast="0" w:name="_heading=h.nr3mici3t7i9" w:id="0"/>
      <w:bookmarkEnd w:id="0"/>
      <w:r w:rsidDel="00000000" w:rsidR="00000000" w:rsidRPr="00000000">
        <w:rPr>
          <w:rFonts w:ascii="Calibri" w:cs="Calibri" w:eastAsia="Calibri" w:hAnsi="Calibri"/>
          <w:sz w:val="26"/>
          <w:szCs w:val="26"/>
          <w:rtl w:val="0"/>
        </w:rPr>
        <w:t xml:space="preserve">El metal como material estratégico y sostenible</w:t>
      </w:r>
    </w:p>
    <w:p w:rsidR="00000000" w:rsidDel="00000000" w:rsidP="00000000" w:rsidRDefault="00000000" w:rsidRPr="00000000" w14:paraId="00000011">
      <w:pPr>
        <w:spacing w:after="240" w:before="240" w:line="240" w:lineRule="auto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Junto al balance de actividad, esta edición incorpora un </w:t>
      </w:r>
      <w:r w:rsidDel="00000000" w:rsidR="00000000" w:rsidRPr="00000000">
        <w:rPr>
          <w:rFonts w:ascii="Calibri" w:cs="Calibri" w:eastAsia="Calibri" w:hAnsi="Calibri"/>
          <w:b w:val="1"/>
          <w:bCs w:val="1"/>
          <w:rtl w:val="0"/>
        </w:rPr>
        <w:t xml:space="preserve">apartado especial dedicado al metal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y a su relevancia histórica, social e industrial, coincidiendo con la celebración del centenario de la asociación en 2026. Bajo el título </w:t>
      </w:r>
      <w:r w:rsidDel="00000000" w:rsidR="00000000" w:rsidRPr="00000000">
        <w:rPr>
          <w:rFonts w:ascii="Calibri" w:cs="Calibri" w:eastAsia="Calibri" w:hAnsi="Calibri"/>
          <w:b w:val="1"/>
          <w:bCs w:val="1"/>
          <w:i w:val="1"/>
          <w:iCs w:val="1"/>
          <w:rtl w:val="0"/>
        </w:rPr>
        <w:t xml:space="preserve">“Un siglo de un material infinito”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, la Memoria realiza un recorrido por la evolución de este material, cuya utilización ha acompañado a la humanidad desde las primeras civilizaciones y ha sido determinante para el desarrollo de infraestructuras, sistemas de transporte, procesos industriales y bienes de consumo que han transformado la sociedad.</w:t>
      </w:r>
    </w:p>
    <w:p w:rsidR="00000000" w:rsidDel="00000000" w:rsidP="00000000" w:rsidRDefault="00000000" w:rsidRPr="00000000" w14:paraId="00000012">
      <w:pPr>
        <w:spacing w:after="240" w:before="240" w:line="240" w:lineRule="auto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La publicación pone en valor las </w:t>
      </w:r>
      <w:r w:rsidDel="00000000" w:rsidR="00000000" w:rsidRPr="00000000">
        <w:rPr>
          <w:rFonts w:ascii="Calibri" w:cs="Calibri" w:eastAsia="Calibri" w:hAnsi="Calibri"/>
          <w:b w:val="1"/>
          <w:bCs w:val="1"/>
          <w:rtl w:val="0"/>
        </w:rPr>
        <w:t xml:space="preserve">cualidades que han convertido al metal en uno de los materiales más relevantes para el progreso económico y tecnológico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: su resistencia, durabilidad, versatilidad y capacidad de adaptación a múltiples aplicaciones industriales. Asimismo, destaca su papel clave en la actualidad como material estratégico para avanzar hacia modelos productivos más sostenibles, gracias a una característica diferencial: puede reciclarse infinitamente sin perder calidad ni propiedades.</w:t>
      </w:r>
    </w:p>
    <w:p w:rsidR="00000000" w:rsidDel="00000000" w:rsidP="00000000" w:rsidRDefault="00000000" w:rsidRPr="00000000" w14:paraId="00000013">
      <w:pPr>
        <w:spacing w:after="240" w:before="240" w:line="240" w:lineRule="auto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En este sentido, se subraya la contribución del metal a la economía circular, a la reducción del consumo de recursos naturales, al ahorro energético y a la disminución de las emisiones de gases de efecto invernadero. Estas ventajas han permitido que </w:t>
      </w:r>
      <w:r w:rsidDel="00000000" w:rsidR="00000000" w:rsidRPr="00000000">
        <w:rPr>
          <w:rFonts w:ascii="Calibri" w:cs="Calibri" w:eastAsia="Calibri" w:hAnsi="Calibri"/>
          <w:b w:val="1"/>
          <w:bCs w:val="1"/>
          <w:rtl w:val="0"/>
        </w:rPr>
        <w:t xml:space="preserve">los envases metálicos se consoliden como una de las soluciones más eficientes y sostenibles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para la conservación y protección de productos, reforzando el papel del sector metalgráfico como actor fundamental en la transición hacia una industria más innovadora, competitiva y respetuosa con el medio ambiente.</w:t>
      </w:r>
    </w:p>
    <w:p w:rsidR="00000000" w:rsidDel="00000000" w:rsidP="00000000" w:rsidRDefault="00000000" w:rsidRPr="00000000" w14:paraId="00000014">
      <w:pPr>
        <w:spacing w:after="240" w:before="240" w:line="240" w:lineRule="auto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La publicación recuerda también que</w:t>
      </w:r>
      <w:r w:rsidDel="00000000" w:rsidR="00000000" w:rsidRPr="00000000">
        <w:rPr>
          <w:rFonts w:ascii="Calibri" w:cs="Calibri" w:eastAsia="Calibri" w:hAnsi="Calibri"/>
          <w:b w:val="1"/>
          <w:bCs w:val="1"/>
          <w:rtl w:val="0"/>
        </w:rPr>
        <w:t xml:space="preserve"> los envases de acero y aluminio ya cumplen, desde 2021, los objetivos de reciclado marcados por la Unión Europea para 2025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, consolidándose como referentes en sostenibilidad y circularidad.</w:t>
      </w:r>
    </w:p>
    <w:p w:rsidR="00000000" w:rsidDel="00000000" w:rsidP="00000000" w:rsidRDefault="00000000" w:rsidRPr="00000000" w14:paraId="00000015">
      <w:pPr>
        <w:spacing w:after="240" w:before="240" w:line="240" w:lineRule="auto"/>
        <w:jc w:val="both"/>
        <w:rPr>
          <w:rFonts w:ascii="Calibri" w:cs="Calibri" w:eastAsia="Calibri" w:hAnsi="Calibri"/>
          <w:sz w:val="26"/>
          <w:szCs w:val="26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Además, AME continúa impulsando la campaña </w:t>
      </w:r>
      <w:r w:rsidDel="00000000" w:rsidR="00000000" w:rsidRPr="00000000">
        <w:rPr>
          <w:rFonts w:ascii="Calibri" w:cs="Calibri" w:eastAsia="Calibri" w:hAnsi="Calibri"/>
          <w:b w:val="1"/>
          <w:bCs w:val="1"/>
          <w:i w:val="1"/>
          <w:iCs w:val="1"/>
          <w:rtl w:val="0"/>
        </w:rPr>
        <w:t xml:space="preserve">“Metal Recycles Forever”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, con la que el sector busca reforzar la concienciación ciudadana sobre el valor ambiental y estratégico del metal y su infinita capacidad de reciclaje.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pStyle w:val="Heading3"/>
        <w:keepNext w:val="0"/>
        <w:keepLines w:val="0"/>
        <w:spacing w:line="240" w:lineRule="auto"/>
        <w:jc w:val="both"/>
        <w:rPr>
          <w:rFonts w:ascii="Calibri" w:cs="Calibri" w:eastAsia="Calibri" w:hAnsi="Calibri"/>
          <w:sz w:val="26"/>
          <w:szCs w:val="26"/>
        </w:rPr>
      </w:pPr>
      <w:bookmarkStart w:colFirst="0" w:colLast="0" w:name="_heading=h.upw3z9rubid2" w:id="1"/>
      <w:bookmarkEnd w:id="1"/>
      <w:r w:rsidDel="00000000" w:rsidR="00000000" w:rsidRPr="00000000">
        <w:rPr>
          <w:rFonts w:ascii="Calibri" w:cs="Calibri" w:eastAsia="Calibri" w:hAnsi="Calibri"/>
          <w:sz w:val="26"/>
          <w:szCs w:val="26"/>
          <w:rtl w:val="0"/>
        </w:rPr>
        <w:t xml:space="preserve">Actividad de la asociación y colaboración sectorial</w:t>
      </w:r>
    </w:p>
    <w:p w:rsidR="00000000" w:rsidDel="00000000" w:rsidP="00000000" w:rsidRDefault="00000000" w:rsidRPr="00000000" w14:paraId="00000017">
      <w:pPr>
        <w:spacing w:after="240" w:before="240" w:line="240" w:lineRule="auto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Actualmente, AME integra a </w:t>
      </w:r>
      <w:r w:rsidDel="00000000" w:rsidR="00000000" w:rsidRPr="00000000">
        <w:rPr>
          <w:rFonts w:ascii="Calibri" w:cs="Calibri" w:eastAsia="Calibri" w:hAnsi="Calibri"/>
          <w:b w:val="1"/>
          <w:bCs w:val="1"/>
          <w:rtl w:val="0"/>
        </w:rPr>
        <w:t xml:space="preserve">29 empresas asociadas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y </w:t>
      </w:r>
      <w:r w:rsidDel="00000000" w:rsidR="00000000" w:rsidRPr="00000000">
        <w:rPr>
          <w:rFonts w:ascii="Calibri" w:cs="Calibri" w:eastAsia="Calibri" w:hAnsi="Calibri"/>
          <w:b w:val="1"/>
          <w:bCs w:val="1"/>
          <w:rtl w:val="0"/>
        </w:rPr>
        <w:t xml:space="preserve">14 adheridas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, que generan más de</w:t>
      </w:r>
      <w:r w:rsidDel="00000000" w:rsidR="00000000" w:rsidRPr="00000000">
        <w:rPr>
          <w:rFonts w:ascii="Calibri" w:cs="Calibri" w:eastAsia="Calibri" w:hAnsi="Calibri"/>
          <w:b w:val="1"/>
          <w:bCs w:val="1"/>
          <w:rtl w:val="0"/>
        </w:rPr>
        <w:t xml:space="preserve"> 6.000 empleos 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y representan a un sector estratégico para la industria española, vinculado a la fabricación de envases y cierres metálicos para alimentación, bebidas, aerosoles y usos industriales.</w:t>
      </w:r>
    </w:p>
    <w:p w:rsidR="00000000" w:rsidDel="00000000" w:rsidP="00000000" w:rsidRDefault="00000000" w:rsidRPr="00000000" w14:paraId="00000018">
      <w:pPr>
        <w:spacing w:after="240" w:before="240" w:line="240" w:lineRule="auto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En este contexto, l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a Memoria Corporativa 2025 recoge el trabajo realizado en áreas estratégicas como la </w:t>
      </w:r>
      <w:r w:rsidDel="00000000" w:rsidR="00000000" w:rsidRPr="00000000">
        <w:rPr>
          <w:rFonts w:ascii="Calibri" w:cs="Calibri" w:eastAsia="Calibri" w:hAnsi="Calibri"/>
          <w:b w:val="1"/>
          <w:bCs w:val="1"/>
          <w:rtl w:val="0"/>
        </w:rPr>
        <w:t xml:space="preserve">sostenibilidad 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y la </w:t>
      </w:r>
      <w:r w:rsidDel="00000000" w:rsidR="00000000" w:rsidRPr="00000000">
        <w:rPr>
          <w:rFonts w:ascii="Calibri" w:cs="Calibri" w:eastAsia="Calibri" w:hAnsi="Calibri"/>
          <w:b w:val="1"/>
          <w:bCs w:val="1"/>
          <w:rtl w:val="0"/>
        </w:rPr>
        <w:t xml:space="preserve">economía circular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, la seguridad alimentaria, la eficiencia energética, el desarrollo industrial, la normalización técnica o el seguimiento de la legislación nacional y europea que afecta a la industria metalgráfica.</w:t>
      </w:r>
    </w:p>
    <w:p w:rsidR="00000000" w:rsidDel="00000000" w:rsidP="00000000" w:rsidRDefault="00000000" w:rsidRPr="00000000" w14:paraId="00000019">
      <w:pPr>
        <w:spacing w:after="240" w:before="240" w:line="240" w:lineRule="auto"/>
        <w:jc w:val="both"/>
        <w:rPr>
          <w:rFonts w:ascii="Calibri" w:cs="Calibri" w:eastAsia="Calibri" w:hAnsi="Calibri"/>
          <w:shd w:fill="fff2cc" w:val="clear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El documento refleja, asimismo, la intensa labor de representación institucional y defensa de los intereses del sector desarrollada por AME, tanto en España como en el ámbito europeo, a través de su participación en organizaciones y foros especializados como </w:t>
      </w:r>
      <w:r w:rsidDel="00000000" w:rsidR="00000000" w:rsidRPr="00000000">
        <w:rPr>
          <w:rFonts w:ascii="Calibri" w:cs="Calibri" w:eastAsia="Calibri" w:hAnsi="Calibri"/>
          <w:b w:val="1"/>
          <w:bCs w:val="1"/>
          <w:rtl w:val="0"/>
        </w:rPr>
        <w:t xml:space="preserve">Metal Packaging Europe, CONFEMETAL, ECOACERO, CONFECOI, CETIE o PACKNET.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pacing w:after="240" w:before="240" w:line="240" w:lineRule="auto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Además, durante el pasado año, la asociación ha tenido que reforzar especialmente su apoyo a las empresas ante los retos derivados de la nueva normativa europea sobre envases y residuos de envases (</w:t>
      </w:r>
      <w:r w:rsidDel="00000000" w:rsidR="00000000" w:rsidRPr="00000000">
        <w:rPr>
          <w:rFonts w:ascii="Calibri" w:cs="Calibri" w:eastAsia="Calibri" w:hAnsi="Calibri"/>
          <w:b w:val="1"/>
          <w:bCs w:val="1"/>
          <w:rtl w:val="0"/>
        </w:rPr>
        <w:t xml:space="preserve">PPWR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), la aplicación del </w:t>
      </w:r>
      <w:r w:rsidDel="00000000" w:rsidR="00000000" w:rsidRPr="00000000">
        <w:rPr>
          <w:rFonts w:ascii="Calibri" w:cs="Calibri" w:eastAsia="Calibri" w:hAnsi="Calibri"/>
          <w:b w:val="1"/>
          <w:bCs w:val="1"/>
          <w:rtl w:val="0"/>
        </w:rPr>
        <w:t xml:space="preserve">Real Decreto 1055/2022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y otras iniciativas regulatorias relacionadas con la sostenibilidad, la descarbonización industrial y la economía circular.</w:t>
      </w:r>
    </w:p>
    <w:p w:rsidR="00000000" w:rsidDel="00000000" w:rsidP="00000000" w:rsidRDefault="00000000" w:rsidRPr="00000000" w14:paraId="0000001B">
      <w:pPr>
        <w:spacing w:after="240" w:before="240" w:line="240" w:lineRule="auto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Uno de los capítulos de la memoria está dedicado a 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las iniciativas de </w:t>
      </w:r>
      <w:r w:rsidDel="00000000" w:rsidR="00000000" w:rsidRPr="00000000">
        <w:rPr>
          <w:rFonts w:ascii="Calibri" w:cs="Calibri" w:eastAsia="Calibri" w:hAnsi="Calibri"/>
          <w:b w:val="1"/>
          <w:bCs w:val="1"/>
          <w:rtl w:val="0"/>
        </w:rPr>
        <w:t xml:space="preserve">divulgación 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de la asociación, como el trabajo en </w:t>
      </w:r>
      <w:r w:rsidDel="00000000" w:rsidR="00000000" w:rsidRPr="00000000">
        <w:rPr>
          <w:rFonts w:ascii="Calibri" w:cs="Calibri" w:eastAsia="Calibri" w:hAnsi="Calibri"/>
          <w:b w:val="1"/>
          <w:bCs w:val="1"/>
          <w:rtl w:val="0"/>
        </w:rPr>
        <w:t xml:space="preserve">redes sociales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, la elaboración de sus tradicionales </w:t>
      </w:r>
      <w:r w:rsidDel="00000000" w:rsidR="00000000" w:rsidRPr="00000000">
        <w:rPr>
          <w:rFonts w:ascii="Calibri" w:cs="Calibri" w:eastAsia="Calibri" w:hAnsi="Calibri"/>
          <w:b w:val="1"/>
          <w:bCs w:val="1"/>
          <w:rtl w:val="0"/>
        </w:rPr>
        <w:t xml:space="preserve">Premios Infinito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y otras </w:t>
      </w:r>
      <w:r w:rsidDel="00000000" w:rsidR="00000000" w:rsidRPr="00000000">
        <w:rPr>
          <w:rFonts w:ascii="Calibri" w:cs="Calibri" w:eastAsia="Calibri" w:hAnsi="Calibri"/>
          <w:b w:val="1"/>
          <w:bCs w:val="1"/>
          <w:rtl w:val="0"/>
        </w:rPr>
        <w:t xml:space="preserve">acciones de comunicación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orientadas a reforzar la visibilidad del sector y su compromiso con la </w:t>
      </w:r>
      <w:r w:rsidDel="00000000" w:rsidR="00000000" w:rsidRPr="00000000">
        <w:rPr>
          <w:rFonts w:ascii="Calibri" w:cs="Calibri" w:eastAsia="Calibri" w:hAnsi="Calibri"/>
          <w:b w:val="1"/>
          <w:bCs w:val="1"/>
          <w:rtl w:val="0"/>
        </w:rPr>
        <w:t xml:space="preserve">sostenibilidad y la innovación.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spacing w:after="240" w:before="240" w:line="240" w:lineRule="auto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Este documento, </w:t>
      </w:r>
      <w:r w:rsidDel="00000000" w:rsidR="00000000" w:rsidRPr="00000000">
        <w:rPr>
          <w:rFonts w:ascii="Calibri" w:cs="Calibri" w:eastAsia="Calibri" w:hAnsi="Calibri"/>
          <w:b w:val="1"/>
          <w:bCs w:val="1"/>
          <w:rtl w:val="0"/>
        </w:rPr>
        <w:t xml:space="preserve">estratégico 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para la asociación, </w:t>
      </w:r>
      <w:r w:rsidDel="00000000" w:rsidR="00000000" w:rsidRPr="00000000">
        <w:rPr>
          <w:rFonts w:ascii="Calibri" w:cs="Calibri" w:eastAsia="Calibri" w:hAnsi="Calibri"/>
          <w:b w:val="1"/>
          <w:bCs w:val="1"/>
          <w:rtl w:val="0"/>
        </w:rPr>
        <w:t xml:space="preserve">reafirma su compromiso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con la innovación, la sostenibilidad y el fortalecimiento de un sector </w:t>
      </w:r>
      <w:r w:rsidDel="00000000" w:rsidR="00000000" w:rsidRPr="00000000">
        <w:rPr>
          <w:rFonts w:ascii="Calibri" w:cs="Calibri" w:eastAsia="Calibri" w:hAnsi="Calibri"/>
          <w:b w:val="1"/>
          <w:bCs w:val="1"/>
          <w:rtl w:val="0"/>
        </w:rPr>
        <w:t xml:space="preserve">clave 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para la industria, en un año especialmente significativo marcado por la celebración de su centenario, que consolida su papel como referente en la evolución del sector metalgráfico. </w:t>
      </w:r>
    </w:p>
    <w:p w:rsidR="00000000" w:rsidDel="00000000" w:rsidP="00000000" w:rsidRDefault="00000000" w:rsidRPr="00000000" w14:paraId="0000001D">
      <w:pPr>
        <w:spacing w:after="160" w:before="200" w:line="240" w:lineRule="auto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sz w:val="20"/>
          <w:szCs w:val="20"/>
          <w:u w:val="single"/>
          <w:rtl w:val="0"/>
        </w:rPr>
        <w:t xml:space="preserve">Sobre AME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spacing w:line="240" w:lineRule="auto"/>
        <w:jc w:val="both"/>
        <w:rPr>
          <w:rFonts w:ascii="Times New Roman" w:cs="Times New Roman" w:eastAsia="Times New Roman" w:hAnsi="Times New Roman"/>
        </w:rPr>
      </w:pPr>
      <w:hyperlink r:id="rId9">
        <w:r w:rsidDel="00000000" w:rsidR="00000000" w:rsidRPr="00000000">
          <w:rPr>
            <w:rFonts w:ascii="Calibri" w:cs="Calibri" w:eastAsia="Calibri" w:hAnsi="Calibri"/>
            <w:i w:val="1"/>
            <w:iCs w:val="1"/>
            <w:color w:val="0000ff"/>
            <w:sz w:val="20"/>
            <w:szCs w:val="20"/>
            <w:u w:val="single"/>
            <w:rtl w:val="0"/>
          </w:rPr>
          <w:t xml:space="preserve">AME, Asociación Metalgráfica Española</w:t>
        </w:r>
      </w:hyperlink>
      <w:r w:rsidDel="00000000" w:rsidR="00000000" w:rsidRPr="00000000">
        <w:rPr>
          <w:rFonts w:ascii="Calibri" w:cs="Calibri" w:eastAsia="Calibri" w:hAnsi="Calibri"/>
          <w:i w:val="1"/>
          <w:iCs w:val="1"/>
          <w:sz w:val="20"/>
          <w:szCs w:val="20"/>
          <w:rtl w:val="0"/>
        </w:rPr>
        <w:t xml:space="preserve">,  es  la mayor organización empresarial del sector de la fabricación de envases y cierres metálicos en aluminio y hojalata. Fundada en 1927, es también una de las organizaciones sectoriales más antiguas de España. Agrupa a 30 compañías asociadas y 12 adheridas, desde grandes multinacionales a empresas familiares de capital español fabricantes de envases y cierres metálicos ligeros, tapas, tapones y precintos metálicos, y actividades afines como la decoración y barnizado de planchas metálicas y su estampación.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spacing w:after="160" w:lineRule="auto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sz w:val="18"/>
          <w:szCs w:val="18"/>
          <w:u w:val="single"/>
          <w:rtl w:val="0"/>
        </w:rPr>
        <w:t xml:space="preserve">Para más información: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spacing w:after="0" w:line="240" w:lineRule="auto"/>
        <w:jc w:val="both"/>
        <w:rPr>
          <w:rFonts w:ascii="Calibri" w:cs="Calibri" w:eastAsia="Calibri" w:hAnsi="Calibri"/>
          <w:b w:val="1"/>
          <w:bCs w:val="1"/>
          <w:sz w:val="18"/>
          <w:szCs w:val="18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sz w:val="18"/>
          <w:szCs w:val="18"/>
          <w:rtl w:val="0"/>
        </w:rPr>
        <w:t xml:space="preserve">Actitud de Comunicación</w:t>
      </w:r>
    </w:p>
    <w:p w:rsidR="00000000" w:rsidDel="00000000" w:rsidP="00000000" w:rsidRDefault="00000000" w:rsidRPr="00000000" w14:paraId="00000021">
      <w:pPr>
        <w:spacing w:after="0" w:line="240" w:lineRule="auto"/>
        <w:jc w:val="both"/>
        <w:rPr>
          <w:rFonts w:ascii="Calibri" w:cs="Calibri" w:eastAsia="Calibri" w:hAnsi="Calibri"/>
          <w:color w:val="0563c1"/>
          <w:sz w:val="18"/>
          <w:szCs w:val="18"/>
          <w:u w:val="single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sz w:val="18"/>
          <w:szCs w:val="18"/>
          <w:rtl w:val="0"/>
        </w:rPr>
        <w:t xml:space="preserve">Mirella Palafox: </w:t>
      </w:r>
      <w:hyperlink r:id="rId10">
        <w:r w:rsidDel="00000000" w:rsidR="00000000" w:rsidRPr="00000000">
          <w:rPr>
            <w:rFonts w:ascii="Calibri" w:cs="Calibri" w:eastAsia="Calibri" w:hAnsi="Calibri"/>
            <w:color w:val="1155cc"/>
            <w:sz w:val="18"/>
            <w:szCs w:val="18"/>
            <w:u w:val="single"/>
            <w:rtl w:val="0"/>
          </w:rPr>
          <w:t xml:space="preserve">mirella.palafox@actitud.es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spacing w:after="0" w:line="240" w:lineRule="auto"/>
        <w:jc w:val="both"/>
        <w:rPr>
          <w:rFonts w:ascii="Calibri" w:cs="Calibri" w:eastAsia="Calibri" w:hAnsi="Calibri"/>
          <w:color w:val="1155cc"/>
          <w:sz w:val="18"/>
          <w:szCs w:val="18"/>
          <w:u w:val="single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sz w:val="18"/>
          <w:szCs w:val="18"/>
          <w:rtl w:val="0"/>
        </w:rPr>
        <w:t xml:space="preserve">Carlota Ramos: </w:t>
      </w:r>
      <w:r w:rsidDel="00000000" w:rsidR="00000000" w:rsidRPr="00000000">
        <w:rPr>
          <w:rFonts w:ascii="Calibri" w:cs="Calibri" w:eastAsia="Calibri" w:hAnsi="Calibri"/>
          <w:color w:val="1155cc"/>
          <w:sz w:val="18"/>
          <w:szCs w:val="18"/>
          <w:u w:val="single"/>
          <w:rtl w:val="0"/>
        </w:rPr>
        <w:t xml:space="preserve">carlota.ramos@actitud.es</w:t>
      </w:r>
    </w:p>
    <w:p w:rsidR="00000000" w:rsidDel="00000000" w:rsidP="00000000" w:rsidRDefault="00000000" w:rsidRPr="00000000" w14:paraId="00000023">
      <w:pPr>
        <w:spacing w:after="0" w:line="240" w:lineRule="auto"/>
        <w:jc w:val="both"/>
        <w:rPr>
          <w:rFonts w:ascii="Calibri" w:cs="Calibri" w:eastAsia="Calibri" w:hAnsi="Calibri"/>
          <w:b w:val="1"/>
          <w:bCs w:val="1"/>
        </w:rPr>
      </w:pPr>
      <w:r w:rsidDel="00000000" w:rsidR="00000000" w:rsidRPr="00000000">
        <w:rPr>
          <w:rFonts w:ascii="Calibri" w:cs="Calibri" w:eastAsia="Calibri" w:hAnsi="Calibri"/>
          <w:sz w:val="18"/>
          <w:szCs w:val="18"/>
          <w:rtl w:val="0"/>
        </w:rPr>
        <w:t xml:space="preserve">Tel.: 91 302 28 60</w:t>
      </w:r>
      <w:r w:rsidDel="00000000" w:rsidR="00000000" w:rsidRPr="00000000">
        <w:rPr>
          <w:rtl w:val="0"/>
        </w:rPr>
      </w:r>
    </w:p>
    <w:sectPr>
      <w:headerReference r:id="rId11" w:type="default"/>
      <w:headerReference r:id="rId12" w:type="first"/>
      <w:headerReference r:id="rId13" w:type="even"/>
      <w:footerReference r:id="rId14" w:type="default"/>
      <w:footerReference r:id="rId15" w:type="first"/>
      <w:footerReference r:id="rId16" w:type="even"/>
      <w:pgSz w:h="16838" w:w="11906" w:orient="portrait"/>
      <w:pgMar w:bottom="1417" w:top="2126" w:left="1701" w:right="1701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Calibri"/>
  <w:font w:name="Times New Roman"/>
  <w:font w:name="Courier New"/>
  <w:font w:name="Noto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Century Gothic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8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right" w:leader="none" w:pos="8504"/>
      </w:tabs>
      <w:spacing w:after="0" w:line="240" w:lineRule="auto"/>
      <w:rPr>
        <w:color w:val="000000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9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right" w:leader="none" w:pos="8504"/>
      </w:tabs>
      <w:spacing w:after="0" w:line="240" w:lineRule="auto"/>
      <w:rPr>
        <w:color w:val="000000"/>
      </w:rPr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A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right" w:leader="none" w:pos="8504"/>
      </w:tabs>
      <w:spacing w:after="0" w:line="240" w:lineRule="auto"/>
      <w:rPr>
        <w:color w:val="000000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4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right" w:leader="none" w:pos="8504"/>
      </w:tabs>
      <w:spacing w:after="0" w:line="240" w:lineRule="auto"/>
      <w:jc w:val="right"/>
      <w:rPr>
        <w:color w:val="000000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-723899</wp:posOffset>
          </wp:positionH>
          <wp:positionV relativeFrom="paragraph">
            <wp:posOffset>-209549</wp:posOffset>
          </wp:positionV>
          <wp:extent cx="1591628" cy="812891"/>
          <wp:effectExtent b="0" l="0" r="0" t="0"/>
          <wp:wrapSquare wrapText="bothSides" distB="0" distT="0" distL="114300" distR="114300"/>
          <wp:docPr descr="Texto&#10;&#10;Descripción generada automáticamente con confianza media" id="1" name="image1.jpg"/>
          <a:graphic>
            <a:graphicData uri="http://schemas.openxmlformats.org/drawingml/2006/picture">
              <pic:pic>
                <pic:nvPicPr>
                  <pic:cNvPr descr="Texto&#10;&#10;Descripción generada automáticamente con confianza media" id="0" name="image1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591628" cy="812891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25">
    <w:pPr>
      <w:spacing w:after="160" w:lineRule="auto"/>
      <w:jc w:val="center"/>
      <w:rPr>
        <w:color w:val="000000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6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right" w:leader="none" w:pos="8504"/>
      </w:tabs>
      <w:spacing w:after="0" w:line="240" w:lineRule="auto"/>
      <w:rPr>
        <w:color w:val="000000"/>
      </w:rPr>
    </w:pP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7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right" w:leader="none" w:pos="8504"/>
      </w:tabs>
      <w:spacing w:after="0" w:line="240" w:lineRule="auto"/>
      <w:rPr>
        <w:color w:val="000000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283.46456692913375" w:hanging="360"/>
      </w:pPr>
      <w:rPr>
        <w:rFonts w:ascii="Noto Sans" w:cs="Noto Sans" w:eastAsia="Noto Sans" w:hAnsi="Noto San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cs="Noto Sans" w:eastAsia="Noto Sans" w:hAnsi="Noto San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" w:cs="Noto Sans" w:eastAsia="Noto Sans" w:hAnsi="Noto San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" w:cs="Noto Sans" w:eastAsia="Noto Sans" w:hAnsi="Noto San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cs="Noto Sans" w:eastAsia="Noto Sans" w:hAnsi="Noto San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" w:cs="Noto Sans" w:eastAsia="Noto Sans" w:hAnsi="Noto San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" w:cs="Noto Sans" w:eastAsia="Noto Sans" w:hAnsi="Noto San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cs="Noto Sans" w:eastAsia="Noto Sans" w:hAnsi="Noto Sans"/>
        <w:sz w:val="20"/>
        <w:szCs w:val="20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entury Gothic" w:cs="Century Gothic" w:eastAsia="Century Gothic" w:hAnsi="Century Gothic"/>
        <w:sz w:val="22"/>
        <w:szCs w:val="22"/>
        <w:lang w:val="es"/>
      </w:rPr>
    </w:rPrDefault>
    <w:pPrDefault>
      <w:pPr>
        <w:spacing w:after="200"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bCs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bCs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bCs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eader" Target="header1.xml"/><Relationship Id="rId10" Type="http://schemas.openxmlformats.org/officeDocument/2006/relationships/hyperlink" Target="mailto:mirella.palafox@actitud.es" TargetMode="External"/><Relationship Id="rId13" Type="http://schemas.openxmlformats.org/officeDocument/2006/relationships/header" Target="header3.xml"/><Relationship Id="rId12" Type="http://schemas.openxmlformats.org/officeDocument/2006/relationships/header" Target="header2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ame.org.es/" TargetMode="External"/><Relationship Id="rId15" Type="http://schemas.openxmlformats.org/officeDocument/2006/relationships/footer" Target="footer2.xml"/><Relationship Id="rId14" Type="http://schemas.openxmlformats.org/officeDocument/2006/relationships/footer" Target="footer1.xml"/><Relationship Id="rId16" Type="http://schemas.openxmlformats.org/officeDocument/2006/relationships/footer" Target="footer3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2.png"/><Relationship Id="rId8" Type="http://schemas.openxmlformats.org/officeDocument/2006/relationships/hyperlink" Target="https://ame.org.es/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-regular.ttf"/><Relationship Id="rId2" Type="http://schemas.openxmlformats.org/officeDocument/2006/relationships/font" Target="fonts/NotoSans-bold.ttf"/><Relationship Id="rId3" Type="http://schemas.openxmlformats.org/officeDocument/2006/relationships/font" Target="fonts/NotoSans-italic.ttf"/><Relationship Id="rId4" Type="http://schemas.openxmlformats.org/officeDocument/2006/relationships/font" Target="fonts/NotoSans-boldItalic.ttf"/><Relationship Id="rId5" Type="http://schemas.openxmlformats.org/officeDocument/2006/relationships/font" Target="fonts/CenturyGothic-regular.ttf"/><Relationship Id="rId6" Type="http://schemas.openxmlformats.org/officeDocument/2006/relationships/font" Target="fonts/CenturyGothic-bold.ttf"/><Relationship Id="rId7" Type="http://schemas.openxmlformats.org/officeDocument/2006/relationships/font" Target="fonts/CenturyGothic-italic.ttf"/><Relationship Id="rId8" Type="http://schemas.openxmlformats.org/officeDocument/2006/relationships/font" Target="fonts/CenturyGothic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6wYEur3kiIH334ylzsdF+lXopLQ==">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