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  <w:rtl w:val="0"/>
        </w:rPr>
        <w:t xml:space="preserve">IMC Toys confirma uno de sus mejores lanzamientos del año 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Calibri" w:cs="Calibri" w:eastAsia="Calibri" w:hAnsi="Calibri"/>
          <w:b w:val="1"/>
          <w:bCs w:val="1"/>
          <w:i w:val="1"/>
          <w:iCs w:val="1"/>
          <w:color w:val="ff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48"/>
          <w:szCs w:val="48"/>
          <w:rtl w:val="0"/>
        </w:rPr>
        <w:t xml:space="preserve">Las muñecas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48"/>
          <w:szCs w:val="48"/>
          <w:rtl w:val="0"/>
        </w:rPr>
        <w:t xml:space="preserve">K-Pop Idol se convierten en las muñecas más vendidas en España en mayo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50"/>
          <w:szCs w:val="5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  <w:rtl w:val="0"/>
        </w:rPr>
        <w:t xml:space="preserve">La fuerte acogida del producto provoca falta de existencias en varios retailers, lo que confirma la conexión emocional y cultural que las muñecas K-Pop Idol generan entre los fans del género y el público infantil</w:t>
      </w:r>
    </w:p>
    <w:p w:rsidR="00000000" w:rsidDel="00000000" w:rsidP="00000000" w:rsidRDefault="00000000" w:rsidRPr="00000000" w14:paraId="00000006">
      <w:pPr>
        <w:ind w:left="720" w:firstLine="0"/>
        <w:jc w:val="both"/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  <w:rtl w:val="0"/>
        </w:rPr>
        <w:t xml:space="preserve">Asimismo, consolida su éxito con una posición Top 11 en el mercado total de juguetes </w:t>
      </w:r>
    </w:p>
    <w:p w:rsidR="00000000" w:rsidDel="00000000" w:rsidP="00000000" w:rsidRDefault="00000000" w:rsidRPr="00000000" w14:paraId="00000008">
      <w:pPr>
        <w:ind w:left="720" w:firstLine="0"/>
        <w:jc w:val="both"/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before="120" w:lineRule="auto"/>
        <w:jc w:val="center"/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</w:rPr>
        <w:drawing>
          <wp:inline distB="114300" distT="114300" distL="114300" distR="114300">
            <wp:extent cx="3587588" cy="2626356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7588" cy="26263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before="120" w:lineRule="auto"/>
        <w:jc w:val="both"/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before="120" w:lineRule="auto"/>
        <w:jc w:val="both"/>
        <w:rPr>
          <w:rFonts w:ascii="Calibri" w:cs="Calibri" w:eastAsia="Calibri" w:hAnsi="Calibri"/>
          <w:sz w:val="24"/>
          <w:szCs w:val="24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Madrid, 18 junio de 2026.- </w:t>
      </w:r>
      <w:hyperlink r:id="rId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IMC Toys Global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celebra el éxito de su línea K-Pop Idol, que se ha posicionado como el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Top 1 en la categoría de muñecas y el Top 11 en el total del mercado español en mayo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según datos de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Circana España de mayo 2026.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before="12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 menos de tres meses, se han vendido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más de 18.000 unidades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de las que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más de  8.000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corresponden solo al mes de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mayo.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after="120" w:before="12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La demanda de los consumidores ha sido tan alta que algunos retailers experimentaron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roturas de stock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Este fenómeno confirma la conexión emocional y cultural que las muñecas K-Pop Idol generan entre los fans del género y el público infantil. </w:t>
      </w:r>
    </w:p>
    <w:p w:rsidR="00000000" w:rsidDel="00000000" w:rsidP="00000000" w:rsidRDefault="00000000" w:rsidRPr="00000000" w14:paraId="0000000E">
      <w:pPr>
        <w:spacing w:after="120" w:before="12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K-Pop Idol se sitúa así en el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Top 30 del mercado total acumulado del año (YTD)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reafirmando su liderazgo como una de las líneas más exitosas del año. </w:t>
      </w:r>
    </w:p>
    <w:p w:rsidR="00000000" w:rsidDel="00000000" w:rsidP="00000000" w:rsidRDefault="00000000" w:rsidRPr="00000000" w14:paraId="0000000F">
      <w:pPr>
        <w:spacing w:after="120" w:before="12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"K-Pop Idol ha conseguido trasladar al universo del juguete toda la energía, creatividad y pasión que despierta el fenómeno global del K-Pop. La acogida que hemos visto en España ha sido excepcional, superando nuestras expectativas y consolidando a la marca como una de las propuestas más prometedoras del mercado juguetero en 2026", señala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Olga Comes, Marketing Manager de IMC Toys Global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12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La experiencia va más allá del juguete con el lanzamiento de la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playlist oficial de K-Pop Idol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Los fans ya pueden disfrutar de 9 canciones originales inspiradas en el universo K-pop, disponibles en SoundCloud, para acompañar sus sesiones de juego con toda la energía y el estilo de sus idols favoritos. </w:t>
      </w:r>
    </w:p>
    <w:p w:rsidR="00000000" w:rsidDel="00000000" w:rsidP="00000000" w:rsidRDefault="00000000" w:rsidRPr="00000000" w14:paraId="00000011">
      <w:pPr>
        <w:spacing w:after="120" w:before="12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20" w:before="120" w:lineRule="auto"/>
        <w:jc w:val="both"/>
        <w:rPr>
          <w:rFonts w:ascii="Calibri" w:cs="Calibri" w:eastAsia="Calibri" w:hAnsi="Calibri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0"/>
          <w:szCs w:val="20"/>
          <w:rtl w:val="0"/>
        </w:rPr>
        <w:t xml:space="preserve">Sobre IMC Toys</w:t>
      </w:r>
    </w:p>
    <w:p w:rsidR="00000000" w:rsidDel="00000000" w:rsidP="00000000" w:rsidRDefault="00000000" w:rsidRPr="00000000" w14:paraId="00000013">
      <w:pPr>
        <w:shd w:fill="ffffff" w:val="clear"/>
        <w:spacing w:after="240" w:before="240" w:lineRule="auto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IMC Toys irrumpió en el mercado por primera vez con su marca estrella, Bebés Llorones, que rápidamente se volvió popular y se convirtió en la muñeca para bebés más vendida en los mercados europeos y estadounidenses. Desde su inicio, la compañía se ha expandido para operar en 50 países y ha fortalecido su línea de productos para incluir una amplia gama de marcas impresionantes, como Bebés Llorones, Bebés Llorones Lágrimas Mágicas, Baby Paws o Playfun que engloba toda la colección de juegos. El compromiso de IMC Toys de proporcionar juguetes para "todas las edades y todas las etapas" ha llevado a su reputación internacionalmente reconocida por ofrecer a los clientes de todo el mundo juguetes de alta calidad y atractivamente diseñados a un precio competitivo.</w:t>
      </w:r>
    </w:p>
    <w:p w:rsidR="00000000" w:rsidDel="00000000" w:rsidP="00000000" w:rsidRDefault="00000000" w:rsidRPr="00000000" w14:paraId="00000014">
      <w:pPr>
        <w:shd w:fill="ffffff" w:val="clear"/>
        <w:spacing w:after="240" w:before="240" w:lineRule="auto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Las marcas de IMC Toys Global cuentan con contenido personalizado a través de sus canales oficiales de YouTube, que se han consolidado bajo el nombre de Bebés Llorones y Crybabies, la serie estrella de la compañía. Con presencia en más de 30 idiomas, suman más de 10 millones de suscriptores, 1420 millones de horas de visualización y más de 8 mil millones de vistas. En estos canales, los fans encuentran no solo los episodios de Bebés Llorones Lágrimas Mágicas, sino también su spin-off BFF by Bebés Llorones, entre otros contenidos con historias llenas de amistad, valores y diversión. Además, los seguidores de Bebés Llorones pueden disfrutar de sus aventuras en plataformas de streaming y broadcasters infantiles en todo el mundo, así como de audiolibros y canciones oficiales en Spotify.</w:t>
      </w:r>
    </w:p>
    <w:p w:rsidR="00000000" w:rsidDel="00000000" w:rsidP="00000000" w:rsidRDefault="00000000" w:rsidRPr="00000000" w14:paraId="00000015">
      <w:pPr>
        <w:spacing w:after="240" w:before="240"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Más información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16">
      <w:pPr>
        <w:spacing w:after="240" w:before="240"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u w:val="single"/>
          <w:rtl w:val="0"/>
        </w:rPr>
        <w:t xml:space="preserve">Actitud de Comunicación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7">
      <w:pPr>
        <w:spacing w:after="240" w:before="240"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Virginia Ayala - </w:t>
      </w:r>
      <w:hyperlink r:id="rId9">
        <w:r w:rsidDel="00000000" w:rsidR="00000000" w:rsidRPr="00000000">
          <w:rPr>
            <w:rFonts w:ascii="Calibri" w:cs="Calibri" w:eastAsia="Calibri" w:hAnsi="Calibri"/>
            <w:color w:val="1155cc"/>
            <w:sz w:val="20"/>
            <w:szCs w:val="20"/>
            <w:u w:val="single"/>
            <w:rtl w:val="0"/>
          </w:rPr>
          <w:t xml:space="preserve">virginia.ayala@actitud.es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="240" w:lineRule="auto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913 022 860</w:t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default"/>
      <w:footerReference r:id="rId14" w:type="first"/>
      <w:footerReference r:id="rId15" w:type="even"/>
      <w:pgSz w:h="16838" w:w="11906" w:orient="portrait"/>
      <w:pgMar w:bottom="1700" w:top="2836" w:left="1598" w:right="159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jc w:val="right"/>
      <w:rPr>
        <w:rFonts w:ascii="Calibri" w:cs="Calibri" w:eastAsia="Calibri" w:hAnsi="Calibri"/>
        <w:color w:val="3d3d3d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3457256</wp:posOffset>
          </wp:positionH>
          <wp:positionV relativeFrom="paragraph">
            <wp:posOffset>152400</wp:posOffset>
          </wp:positionV>
          <wp:extent cx="2191068" cy="495789"/>
          <wp:effectExtent b="0" l="0" r="0" t="0"/>
          <wp:wrapSquare wrapText="bothSides" distB="114300" distT="11430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1068" cy="49578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134617</wp:posOffset>
          </wp:positionH>
          <wp:positionV relativeFrom="paragraph">
            <wp:posOffset>-50794</wp:posOffset>
          </wp:positionV>
          <wp:extent cx="1304138" cy="986322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04138" cy="98632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A">
    <w:pPr>
      <w:jc w:val="right"/>
      <w:rPr>
        <w:rFonts w:ascii="Calibri" w:cs="Calibri" w:eastAsia="Calibri" w:hAnsi="Calibri"/>
        <w:color w:val="3d3d3d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240" w:before="240" w:lineRule="auto"/>
      <w:jc w:val="both"/>
    </w:pPr>
    <w:rPr>
      <w:rFonts w:ascii="Calibri" w:cs="Calibri" w:eastAsia="Calibri" w:hAnsi="Calibri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virginia.ayala@actitud.es" TargetMode="External"/><Relationship Id="rId15" Type="http://schemas.openxmlformats.org/officeDocument/2006/relationships/footer" Target="footer3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https://www.imctoys.com/es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G5EI+T7NNcAZ27HMBbdemVZj0g==">CgMxLjA4AHIhMWllUGVscHZyUEZtdTJqX2lEZVhsdGw0cDBqSmFPWXVh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